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55" w:rsidRDefault="00766750">
      <w:pPr>
        <w:adjustRightInd w:val="0"/>
        <w:snapToGrid w:val="0"/>
        <w:spacing w:line="640" w:lineRule="exact"/>
        <w:rPr>
          <w:rFonts w:ascii="宋体" w:hAnsi="宋体"/>
          <w:b/>
          <w:sz w:val="36"/>
          <w:szCs w:val="36"/>
        </w:rPr>
      </w:pPr>
      <w:r>
        <w:rPr>
          <w:rFonts w:ascii="宋体" w:hAnsi="宋体" w:hint="eastAsia"/>
          <w:b/>
          <w:sz w:val="36"/>
          <w:szCs w:val="36"/>
        </w:rPr>
        <w:t>附件</w:t>
      </w:r>
      <w:r>
        <w:rPr>
          <w:rFonts w:ascii="宋体" w:hAnsi="宋体" w:hint="eastAsia"/>
          <w:b/>
          <w:sz w:val="36"/>
          <w:szCs w:val="36"/>
        </w:rPr>
        <w:t>2</w:t>
      </w:r>
    </w:p>
    <w:p w:rsidR="002F2F55" w:rsidRDefault="002F2F55"/>
    <w:p w:rsidR="002F2F55" w:rsidRDefault="002F2F55"/>
    <w:p w:rsidR="002F2F55" w:rsidRDefault="002F2F55"/>
    <w:p w:rsidR="002F2F55" w:rsidRDefault="00766750">
      <w:pPr>
        <w:jc w:val="center"/>
        <w:rPr>
          <w:b/>
          <w:bCs/>
          <w:color w:val="FFFFFF"/>
          <w:sz w:val="50"/>
          <w:szCs w:val="50"/>
        </w:rPr>
      </w:pPr>
      <w:r>
        <w:rPr>
          <w:rFonts w:hint="eastAsia"/>
          <w:b/>
          <w:bCs/>
          <w:color w:val="FFFFFF"/>
          <w:sz w:val="50"/>
          <w:szCs w:val="50"/>
        </w:rPr>
        <w:t xml:space="preserve">                           </w:t>
      </w:r>
    </w:p>
    <w:p w:rsidR="002F2F55" w:rsidRDefault="00766750">
      <w:pPr>
        <w:adjustRightInd w:val="0"/>
        <w:snapToGrid w:val="0"/>
        <w:spacing w:line="640" w:lineRule="exact"/>
        <w:jc w:val="center"/>
        <w:rPr>
          <w:rFonts w:ascii="宋体" w:hAnsi="宋体"/>
          <w:b/>
          <w:sz w:val="36"/>
          <w:szCs w:val="36"/>
        </w:rPr>
      </w:pPr>
      <w:r>
        <w:rPr>
          <w:rFonts w:ascii="宋体" w:hAnsi="宋体" w:hint="eastAsia"/>
          <w:b/>
          <w:sz w:val="36"/>
          <w:szCs w:val="36"/>
        </w:rPr>
        <w:t>中共上海市普陀区教育工作委员会</w:t>
      </w:r>
      <w:r>
        <w:rPr>
          <w:rFonts w:ascii="宋体" w:hAnsi="宋体" w:hint="eastAsia"/>
          <w:b/>
          <w:sz w:val="36"/>
          <w:szCs w:val="36"/>
        </w:rPr>
        <w:t xml:space="preserve"> </w:t>
      </w:r>
      <w:r>
        <w:rPr>
          <w:rFonts w:ascii="宋体" w:hAnsi="宋体" w:hint="eastAsia"/>
          <w:b/>
          <w:sz w:val="36"/>
          <w:szCs w:val="36"/>
        </w:rPr>
        <w:t>上海市普陀</w:t>
      </w:r>
      <w:r>
        <w:rPr>
          <w:rFonts w:ascii="宋体" w:hAnsi="宋体" w:hint="eastAsia"/>
          <w:b/>
          <w:sz w:val="36"/>
          <w:szCs w:val="36"/>
        </w:rPr>
        <w:t>区</w:t>
      </w:r>
      <w:r>
        <w:rPr>
          <w:rFonts w:ascii="宋体" w:hAnsi="宋体" w:hint="eastAsia"/>
          <w:b/>
          <w:sz w:val="36"/>
          <w:szCs w:val="36"/>
        </w:rPr>
        <w:t>教育局</w:t>
      </w:r>
    </w:p>
    <w:p w:rsidR="002F2F55" w:rsidRDefault="00766750">
      <w:pPr>
        <w:adjustRightInd w:val="0"/>
        <w:snapToGrid w:val="0"/>
        <w:spacing w:line="640" w:lineRule="exact"/>
        <w:jc w:val="center"/>
        <w:rPr>
          <w:rFonts w:ascii="宋体" w:hAnsi="宋体"/>
          <w:b/>
          <w:sz w:val="36"/>
          <w:szCs w:val="36"/>
        </w:rPr>
      </w:pPr>
      <w:r>
        <w:rPr>
          <w:rFonts w:ascii="宋体" w:hAnsi="宋体" w:hint="eastAsia"/>
          <w:b/>
          <w:sz w:val="36"/>
          <w:szCs w:val="36"/>
        </w:rPr>
        <w:t>上海市普陀区人民政府教育督导室</w:t>
      </w:r>
    </w:p>
    <w:p w:rsidR="002F2F55" w:rsidRDefault="00766750">
      <w:pPr>
        <w:adjustRightInd w:val="0"/>
        <w:snapToGrid w:val="0"/>
        <w:spacing w:line="640" w:lineRule="exact"/>
        <w:jc w:val="center"/>
        <w:rPr>
          <w:rFonts w:ascii="宋体" w:hAnsi="宋体"/>
          <w:b/>
          <w:sz w:val="36"/>
          <w:szCs w:val="36"/>
        </w:rPr>
      </w:pPr>
      <w:r>
        <w:rPr>
          <w:rFonts w:ascii="宋体" w:hAnsi="宋体" w:hint="eastAsia"/>
          <w:b/>
          <w:sz w:val="36"/>
          <w:szCs w:val="36"/>
        </w:rPr>
        <w:t>关于上海市真北中学</w:t>
      </w:r>
      <w:r>
        <w:rPr>
          <w:rFonts w:ascii="宋体" w:hAnsi="宋体" w:hint="eastAsia"/>
          <w:b/>
          <w:sz w:val="36"/>
          <w:szCs w:val="36"/>
        </w:rPr>
        <w:t>的</w:t>
      </w:r>
      <w:r>
        <w:rPr>
          <w:rFonts w:ascii="宋体" w:hAnsi="宋体" w:hint="eastAsia"/>
          <w:b/>
          <w:sz w:val="36"/>
          <w:szCs w:val="36"/>
        </w:rPr>
        <w:t>融合式发展性督导报告</w:t>
      </w:r>
    </w:p>
    <w:p w:rsidR="002F2F55" w:rsidRDefault="002F2F55">
      <w:pPr>
        <w:widowControl/>
        <w:snapToGrid w:val="0"/>
        <w:spacing w:line="520" w:lineRule="exact"/>
        <w:rPr>
          <w:rFonts w:ascii="仿宋" w:eastAsia="仿宋" w:hAnsi="仿宋" w:cs="仿宋"/>
          <w:bCs/>
          <w:color w:val="000000"/>
          <w:sz w:val="28"/>
          <w:szCs w:val="28"/>
        </w:rPr>
      </w:pPr>
    </w:p>
    <w:p w:rsidR="002F2F55" w:rsidRDefault="00766750">
      <w:pPr>
        <w:widowControl/>
        <w:snapToGrid w:val="0"/>
        <w:spacing w:line="52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根据《关于加强中小学校党的建设工作的意见》（中组发〔</w:t>
      </w:r>
      <w:r>
        <w:rPr>
          <w:rFonts w:ascii="仿宋" w:eastAsia="仿宋" w:hAnsi="仿宋" w:cs="仿宋" w:hint="eastAsia"/>
          <w:bCs/>
          <w:color w:val="000000"/>
          <w:sz w:val="30"/>
          <w:szCs w:val="30"/>
        </w:rPr>
        <w:t>2016</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17</w:t>
      </w:r>
      <w:r>
        <w:rPr>
          <w:rFonts w:ascii="仿宋" w:eastAsia="仿宋" w:hAnsi="仿宋" w:cs="仿宋" w:hint="eastAsia"/>
          <w:bCs/>
          <w:color w:val="000000"/>
          <w:sz w:val="30"/>
          <w:szCs w:val="30"/>
        </w:rPr>
        <w:t>号）、《上海市教育督导条例》和《普陀区教育督导工作规程》等法规和文件的精神与要求，</w:t>
      </w:r>
      <w:r>
        <w:rPr>
          <w:rFonts w:ascii="仿宋" w:eastAsia="仿宋" w:hAnsi="仿宋" w:cs="仿宋" w:hint="eastAsia"/>
          <w:bCs/>
          <w:color w:val="000000"/>
          <w:sz w:val="30"/>
          <w:szCs w:val="30"/>
        </w:rPr>
        <w:t>2019</w:t>
      </w:r>
      <w:r>
        <w:rPr>
          <w:rFonts w:ascii="仿宋" w:eastAsia="仿宋" w:hAnsi="仿宋" w:cs="仿宋" w:hint="eastAsia"/>
          <w:bCs/>
          <w:color w:val="000000"/>
          <w:sz w:val="30"/>
          <w:szCs w:val="30"/>
        </w:rPr>
        <w:t>年</w:t>
      </w:r>
      <w:r>
        <w:rPr>
          <w:rFonts w:ascii="仿宋" w:eastAsia="仿宋" w:hAnsi="仿宋" w:cs="仿宋" w:hint="eastAsia"/>
          <w:bCs/>
          <w:color w:val="000000"/>
          <w:sz w:val="30"/>
          <w:szCs w:val="30"/>
        </w:rPr>
        <w:t>5</w:t>
      </w:r>
      <w:r>
        <w:rPr>
          <w:rFonts w:ascii="仿宋" w:eastAsia="仿宋" w:hAnsi="仿宋" w:cs="仿宋" w:hint="eastAsia"/>
          <w:bCs/>
          <w:color w:val="000000"/>
          <w:sz w:val="30"/>
          <w:szCs w:val="30"/>
        </w:rPr>
        <w:t>月</w:t>
      </w:r>
      <w:r>
        <w:rPr>
          <w:rFonts w:ascii="仿宋" w:eastAsia="仿宋" w:hAnsi="仿宋" w:cs="仿宋" w:hint="eastAsia"/>
          <w:bCs/>
          <w:color w:val="000000"/>
          <w:sz w:val="30"/>
          <w:szCs w:val="30"/>
        </w:rPr>
        <w:t>21</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24</w:t>
      </w:r>
      <w:r>
        <w:rPr>
          <w:rFonts w:ascii="仿宋" w:eastAsia="仿宋" w:hAnsi="仿宋" w:cs="仿宋" w:hint="eastAsia"/>
          <w:bCs/>
          <w:color w:val="000000"/>
          <w:sz w:val="30"/>
          <w:szCs w:val="30"/>
        </w:rPr>
        <w:t>日，普陀区教育系统党政融合督导组对上海市真北中学进行为期三天的融合式发展性督导。上海市真北中学的基本情况为：学校创建于</w:t>
      </w:r>
      <w:r>
        <w:rPr>
          <w:rFonts w:ascii="仿宋" w:eastAsia="仿宋" w:hAnsi="仿宋" w:cs="仿宋" w:hint="eastAsia"/>
          <w:bCs/>
          <w:color w:val="000000"/>
          <w:sz w:val="30"/>
          <w:szCs w:val="30"/>
        </w:rPr>
        <w:t>1993</w:t>
      </w:r>
      <w:r>
        <w:rPr>
          <w:rFonts w:ascii="仿宋" w:eastAsia="仿宋" w:hAnsi="仿宋" w:cs="仿宋" w:hint="eastAsia"/>
          <w:bCs/>
          <w:color w:val="000000"/>
          <w:sz w:val="30"/>
          <w:szCs w:val="30"/>
        </w:rPr>
        <w:t>年，为公办初中学校</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为党支部建制，</w:t>
      </w:r>
      <w:r>
        <w:rPr>
          <w:rFonts w:ascii="仿宋" w:eastAsia="仿宋" w:hAnsi="仿宋" w:cs="仿宋" w:hint="eastAsia"/>
          <w:bCs/>
          <w:color w:val="000000"/>
          <w:sz w:val="30"/>
          <w:szCs w:val="30"/>
        </w:rPr>
        <w:t>2018</w:t>
      </w:r>
      <w:r>
        <w:rPr>
          <w:rFonts w:ascii="仿宋" w:eastAsia="仿宋" w:hAnsi="仿宋" w:cs="仿宋" w:hint="eastAsia"/>
          <w:bCs/>
          <w:color w:val="000000"/>
          <w:sz w:val="30"/>
          <w:szCs w:val="30"/>
        </w:rPr>
        <w:t>年</w:t>
      </w:r>
      <w:r>
        <w:rPr>
          <w:rFonts w:ascii="仿宋" w:eastAsia="仿宋" w:hAnsi="仿宋" w:cs="仿宋" w:hint="eastAsia"/>
          <w:bCs/>
          <w:color w:val="000000"/>
          <w:sz w:val="30"/>
          <w:szCs w:val="30"/>
        </w:rPr>
        <w:t>6</w:t>
      </w:r>
      <w:r>
        <w:rPr>
          <w:rFonts w:ascii="仿宋" w:eastAsia="仿宋" w:hAnsi="仿宋" w:cs="仿宋" w:hint="eastAsia"/>
          <w:bCs/>
          <w:color w:val="000000"/>
          <w:sz w:val="30"/>
          <w:szCs w:val="30"/>
        </w:rPr>
        <w:t>月经公推直选，组成现届五人支委会成员，书记一人，副书记一人，委员</w:t>
      </w:r>
      <w:r>
        <w:rPr>
          <w:rFonts w:ascii="仿宋" w:eastAsia="仿宋" w:hAnsi="仿宋" w:cs="仿宋" w:hint="eastAsia"/>
          <w:bCs/>
          <w:color w:val="000000"/>
          <w:sz w:val="30"/>
          <w:szCs w:val="30"/>
        </w:rPr>
        <w:t>3</w:t>
      </w:r>
      <w:r>
        <w:rPr>
          <w:rFonts w:ascii="仿宋" w:eastAsia="仿宋" w:hAnsi="仿宋" w:cs="仿宋" w:hint="eastAsia"/>
          <w:bCs/>
          <w:color w:val="000000"/>
          <w:sz w:val="30"/>
          <w:szCs w:val="30"/>
        </w:rPr>
        <w:t>人，下设</w:t>
      </w:r>
      <w:r>
        <w:rPr>
          <w:rFonts w:ascii="仿宋" w:eastAsia="仿宋" w:hAnsi="仿宋" w:cs="仿宋" w:hint="eastAsia"/>
          <w:bCs/>
          <w:color w:val="000000"/>
          <w:sz w:val="30"/>
          <w:szCs w:val="30"/>
        </w:rPr>
        <w:t>3</w:t>
      </w:r>
      <w:r>
        <w:rPr>
          <w:rFonts w:ascii="仿宋" w:eastAsia="仿宋" w:hAnsi="仿宋" w:cs="仿宋" w:hint="eastAsia"/>
          <w:bCs/>
          <w:color w:val="000000"/>
          <w:sz w:val="30"/>
          <w:szCs w:val="30"/>
        </w:rPr>
        <w:t>个党小组，党员</w:t>
      </w:r>
      <w:r>
        <w:rPr>
          <w:rFonts w:ascii="仿宋" w:eastAsia="仿宋" w:hAnsi="仿宋" w:cs="仿宋" w:hint="eastAsia"/>
          <w:bCs/>
          <w:color w:val="000000"/>
          <w:sz w:val="30"/>
          <w:szCs w:val="30"/>
        </w:rPr>
        <w:t>30</w:t>
      </w:r>
      <w:r>
        <w:rPr>
          <w:rFonts w:ascii="仿宋" w:eastAsia="仿宋" w:hAnsi="仿宋" w:cs="仿宋" w:hint="eastAsia"/>
          <w:bCs/>
          <w:color w:val="000000"/>
          <w:sz w:val="30"/>
          <w:szCs w:val="30"/>
        </w:rPr>
        <w:t>人。学校现有</w:t>
      </w:r>
      <w:r>
        <w:rPr>
          <w:rFonts w:ascii="仿宋" w:eastAsia="仿宋" w:hAnsi="仿宋" w:cs="仿宋" w:hint="eastAsia"/>
          <w:bCs/>
          <w:color w:val="000000"/>
          <w:sz w:val="30"/>
          <w:szCs w:val="30"/>
        </w:rPr>
        <w:t>21</w:t>
      </w:r>
      <w:r>
        <w:rPr>
          <w:rFonts w:ascii="仿宋" w:eastAsia="仿宋" w:hAnsi="仿宋" w:cs="仿宋" w:hint="eastAsia"/>
          <w:bCs/>
          <w:color w:val="000000"/>
          <w:sz w:val="30"/>
          <w:szCs w:val="30"/>
        </w:rPr>
        <w:t>个教学班，</w:t>
      </w:r>
      <w:r>
        <w:rPr>
          <w:rFonts w:ascii="仿宋" w:eastAsia="仿宋" w:hAnsi="仿宋" w:cs="仿宋" w:hint="eastAsia"/>
          <w:bCs/>
          <w:color w:val="000000"/>
          <w:sz w:val="30"/>
          <w:szCs w:val="30"/>
        </w:rPr>
        <w:t>450</w:t>
      </w:r>
      <w:r>
        <w:rPr>
          <w:rFonts w:ascii="仿宋" w:eastAsia="仿宋" w:hAnsi="仿宋" w:cs="仿宋" w:hint="eastAsia"/>
          <w:bCs/>
          <w:color w:val="000000"/>
          <w:sz w:val="30"/>
          <w:szCs w:val="30"/>
        </w:rPr>
        <w:t>多名学生；在编教职工</w:t>
      </w:r>
      <w:r>
        <w:rPr>
          <w:rFonts w:ascii="仿宋" w:eastAsia="仿宋" w:hAnsi="仿宋" w:cs="仿宋" w:hint="eastAsia"/>
          <w:bCs/>
          <w:color w:val="000000"/>
          <w:sz w:val="30"/>
          <w:szCs w:val="30"/>
        </w:rPr>
        <w:t>68</w:t>
      </w:r>
      <w:r>
        <w:rPr>
          <w:rFonts w:ascii="仿宋" w:eastAsia="仿宋" w:hAnsi="仿宋" w:cs="仿宋" w:hint="eastAsia"/>
          <w:bCs/>
          <w:color w:val="000000"/>
          <w:sz w:val="30"/>
          <w:szCs w:val="30"/>
        </w:rPr>
        <w:t>人（党员占</w:t>
      </w:r>
      <w:r>
        <w:rPr>
          <w:rFonts w:ascii="仿宋" w:eastAsia="仿宋" w:hAnsi="仿宋" w:cs="仿宋" w:hint="eastAsia"/>
          <w:bCs/>
          <w:color w:val="000000"/>
          <w:sz w:val="30"/>
          <w:szCs w:val="30"/>
        </w:rPr>
        <w:t>44%</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t>，其中专任教师</w:t>
      </w:r>
      <w:r>
        <w:rPr>
          <w:rFonts w:ascii="仿宋" w:eastAsia="仿宋" w:hAnsi="仿宋" w:cs="仿宋" w:hint="eastAsia"/>
          <w:bCs/>
          <w:color w:val="000000"/>
          <w:sz w:val="30"/>
          <w:szCs w:val="30"/>
        </w:rPr>
        <w:t>55</w:t>
      </w:r>
      <w:r>
        <w:rPr>
          <w:rFonts w:ascii="仿宋" w:eastAsia="仿宋" w:hAnsi="仿宋" w:cs="仿宋" w:hint="eastAsia"/>
          <w:bCs/>
          <w:color w:val="000000"/>
          <w:sz w:val="30"/>
          <w:szCs w:val="30"/>
        </w:rPr>
        <w:t>人（党员占</w:t>
      </w:r>
      <w:r>
        <w:rPr>
          <w:rFonts w:ascii="仿宋" w:eastAsia="仿宋" w:hAnsi="仿宋" w:cs="仿宋" w:hint="eastAsia"/>
          <w:bCs/>
          <w:color w:val="000000"/>
          <w:sz w:val="30"/>
          <w:szCs w:val="30"/>
        </w:rPr>
        <w:t>54%</w:t>
      </w:r>
      <w:r>
        <w:rPr>
          <w:rFonts w:ascii="仿宋" w:eastAsia="仿宋" w:hAnsi="仿宋" w:cs="仿宋" w:hint="eastAsia"/>
          <w:bCs/>
          <w:color w:val="000000"/>
          <w:sz w:val="30"/>
          <w:szCs w:val="30"/>
        </w:rPr>
        <w:t>）。督导组全体人员通过审阅学校发展规划，听取校长的自评报告、查阅相关资料、巡视校园环境、观课（</w:t>
      </w:r>
      <w:r>
        <w:rPr>
          <w:rFonts w:ascii="仿宋" w:eastAsia="仿宋" w:hAnsi="仿宋" w:cs="仿宋" w:hint="eastAsia"/>
          <w:bCs/>
          <w:color w:val="000000"/>
          <w:sz w:val="30"/>
          <w:szCs w:val="30"/>
        </w:rPr>
        <w:t>19</w:t>
      </w:r>
      <w:r>
        <w:rPr>
          <w:rFonts w:ascii="仿宋" w:eastAsia="仿宋" w:hAnsi="仿宋" w:cs="仿宋" w:hint="eastAsia"/>
          <w:bCs/>
          <w:color w:val="000000"/>
          <w:sz w:val="30"/>
          <w:szCs w:val="30"/>
        </w:rPr>
        <w:t>节）、干部教师访谈（</w:t>
      </w:r>
      <w:r>
        <w:rPr>
          <w:rFonts w:ascii="仿宋" w:eastAsia="仿宋" w:hAnsi="仿宋" w:cs="仿宋" w:hint="eastAsia"/>
          <w:bCs/>
          <w:color w:val="000000"/>
          <w:sz w:val="30"/>
          <w:szCs w:val="30"/>
        </w:rPr>
        <w:t>38</w:t>
      </w:r>
      <w:r>
        <w:rPr>
          <w:rFonts w:ascii="仿宋" w:eastAsia="仿宋" w:hAnsi="仿宋" w:cs="仿宋" w:hint="eastAsia"/>
          <w:bCs/>
          <w:color w:val="000000"/>
          <w:sz w:val="30"/>
          <w:szCs w:val="30"/>
        </w:rPr>
        <w:t>人次）、学生座谈（</w:t>
      </w:r>
      <w:r>
        <w:rPr>
          <w:rFonts w:ascii="仿宋" w:eastAsia="仿宋" w:hAnsi="仿宋" w:cs="仿宋" w:hint="eastAsia"/>
          <w:bCs/>
          <w:color w:val="000000"/>
          <w:sz w:val="30"/>
          <w:szCs w:val="30"/>
        </w:rPr>
        <w:t>30</w:t>
      </w:r>
      <w:r>
        <w:rPr>
          <w:rFonts w:ascii="仿宋" w:eastAsia="仿宋" w:hAnsi="仿宋" w:cs="仿宋" w:hint="eastAsia"/>
          <w:bCs/>
          <w:color w:val="000000"/>
          <w:sz w:val="30"/>
          <w:szCs w:val="30"/>
        </w:rPr>
        <w:t>人次）、问卷调查（教职工</w:t>
      </w:r>
      <w:r>
        <w:rPr>
          <w:rFonts w:ascii="仿宋" w:eastAsia="仿宋" w:hAnsi="仿宋" w:cs="仿宋" w:hint="eastAsia"/>
          <w:bCs/>
          <w:color w:val="000000"/>
          <w:sz w:val="30"/>
          <w:szCs w:val="30"/>
        </w:rPr>
        <w:t>58</w:t>
      </w:r>
      <w:r>
        <w:rPr>
          <w:rFonts w:ascii="仿宋" w:eastAsia="仿宋" w:hAnsi="仿宋" w:cs="仿宋" w:hint="eastAsia"/>
          <w:bCs/>
          <w:color w:val="000000"/>
          <w:sz w:val="30"/>
          <w:szCs w:val="30"/>
        </w:rPr>
        <w:t>份，家长</w:t>
      </w:r>
      <w:r>
        <w:rPr>
          <w:rFonts w:ascii="仿宋" w:eastAsia="仿宋" w:hAnsi="仿宋" w:cs="仿宋" w:hint="eastAsia"/>
          <w:bCs/>
          <w:color w:val="000000"/>
          <w:sz w:val="30"/>
          <w:szCs w:val="30"/>
        </w:rPr>
        <w:t>393</w:t>
      </w:r>
      <w:r>
        <w:rPr>
          <w:rFonts w:ascii="仿宋" w:eastAsia="仿宋" w:hAnsi="仿宋" w:cs="仿宋" w:hint="eastAsia"/>
          <w:bCs/>
          <w:color w:val="000000"/>
          <w:sz w:val="30"/>
          <w:szCs w:val="30"/>
        </w:rPr>
        <w:t>份，学生</w:t>
      </w:r>
      <w:r>
        <w:rPr>
          <w:rFonts w:ascii="仿宋" w:eastAsia="仿宋" w:hAnsi="仿宋" w:cs="仿宋" w:hint="eastAsia"/>
          <w:bCs/>
          <w:color w:val="000000"/>
          <w:sz w:val="30"/>
          <w:szCs w:val="30"/>
        </w:rPr>
        <w:t>159</w:t>
      </w:r>
      <w:r>
        <w:rPr>
          <w:rFonts w:ascii="仿宋" w:eastAsia="仿宋" w:hAnsi="仿宋" w:cs="仿宋" w:hint="eastAsia"/>
          <w:bCs/>
          <w:color w:val="000000"/>
          <w:sz w:val="30"/>
          <w:szCs w:val="30"/>
        </w:rPr>
        <w:t>份）、听取社区意见等途径获取信息，形成以下报告。</w:t>
      </w:r>
    </w:p>
    <w:p w:rsidR="002F2F55" w:rsidRDefault="00766750">
      <w:pPr>
        <w:widowControl/>
        <w:snapToGrid w:val="0"/>
        <w:spacing w:line="520" w:lineRule="exact"/>
        <w:ind w:firstLineChars="200" w:firstLine="600"/>
        <w:rPr>
          <w:rFonts w:ascii="仿宋" w:eastAsia="仿宋" w:hAnsi="仿宋" w:cs="仿宋"/>
          <w:b/>
          <w:kern w:val="0"/>
          <w:sz w:val="30"/>
          <w:szCs w:val="30"/>
        </w:rPr>
      </w:pPr>
      <w:r>
        <w:rPr>
          <w:rFonts w:ascii="仿宋" w:eastAsia="仿宋" w:hAnsi="仿宋" w:cs="仿宋" w:hint="eastAsia"/>
          <w:bCs/>
          <w:color w:val="000000"/>
          <w:sz w:val="30"/>
          <w:szCs w:val="30"/>
        </w:rPr>
        <w:t>学校坚定社会主义办学方向，秉持“让每一个孩子健康、阳光、创享的生活”的办学理念，以大力开展社会主义核心价值观教育为引领，以实施均衡化、差异化发展为办学策略，以小班化课堂教学改革为手段，积极落实“阳光健体，勤勉笃学，诚信求真，和谐</w:t>
      </w:r>
      <w:r>
        <w:rPr>
          <w:rFonts w:ascii="仿宋" w:eastAsia="仿宋" w:hAnsi="仿宋" w:cs="仿宋" w:hint="eastAsia"/>
          <w:bCs/>
          <w:color w:val="000000"/>
          <w:sz w:val="30"/>
          <w:szCs w:val="30"/>
        </w:rPr>
        <w:t>向</w:t>
      </w:r>
      <w:r>
        <w:rPr>
          <w:rFonts w:ascii="仿宋" w:eastAsia="仿宋" w:hAnsi="仿宋" w:cs="仿宋" w:hint="eastAsia"/>
          <w:bCs/>
          <w:color w:val="000000"/>
          <w:sz w:val="30"/>
          <w:szCs w:val="30"/>
        </w:rPr>
        <w:lastRenderedPageBreak/>
        <w:t>善”的育人目标，提升学校办学水平，促进学生健康成长。学校管理规范有序，教师专业素养不断提升，校园文化活动丰富多彩，办学质量持续稳定发展，家长、社会的认可度日益提高。近年来，学校成为普陀区文明单位、普陀区素质教育先进校、普陀区新优质项目学校、普陀区五星级行为规范示范校。</w:t>
      </w:r>
    </w:p>
    <w:p w:rsidR="002F2F55" w:rsidRDefault="00766750" w:rsidP="00B0640A">
      <w:pPr>
        <w:widowControl/>
        <w:snapToGrid w:val="0"/>
        <w:spacing w:line="52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一、成绩与经验</w:t>
      </w:r>
    </w:p>
    <w:p w:rsidR="002F2F55" w:rsidRDefault="00766750" w:rsidP="00B0640A">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（一）坚持党的政治领导，把准学校发展方向，为学校改革发展提供组织保障</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学校注重加强党的领导，提高党员干部的执行力，以“充分发挥党组织的政治核心作用，全面推进学校教育改革创新”为主线，积极推进民主、科学、高效的组织管理机制建设；党组织的凝聚力不断增强，党风廉政建设推进有力，党员干部、骨干教师先锋模范作用不断凸显，引领学校持续稳定发展。</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一是坚持思想引领，强化政治担当，保障学校健康发展。学校党组织</w:t>
      </w:r>
      <w:r w:rsidR="00B0640A">
        <w:rPr>
          <w:rFonts w:ascii="仿宋" w:eastAsia="仿宋" w:hAnsi="仿宋" w:cs="仿宋" w:hint="eastAsia"/>
          <w:color w:val="000000" w:themeColor="text1"/>
          <w:sz w:val="30"/>
          <w:szCs w:val="30"/>
        </w:rPr>
        <w:t>落实</w:t>
      </w:r>
      <w:bookmarkStart w:id="0" w:name="_GoBack"/>
      <w:bookmarkEnd w:id="0"/>
      <w:r>
        <w:rPr>
          <w:rFonts w:ascii="仿宋" w:eastAsia="仿宋" w:hAnsi="仿宋" w:cs="仿宋" w:hint="eastAsia"/>
          <w:color w:val="000000" w:themeColor="text1"/>
          <w:sz w:val="30"/>
          <w:szCs w:val="30"/>
        </w:rPr>
        <w:t>全面</w:t>
      </w:r>
      <w:r>
        <w:rPr>
          <w:rFonts w:ascii="仿宋" w:eastAsia="仿宋" w:hAnsi="仿宋" w:cs="仿宋" w:hint="eastAsia"/>
          <w:color w:val="000000" w:themeColor="text1"/>
          <w:sz w:val="30"/>
          <w:szCs w:val="30"/>
        </w:rPr>
        <w:t>从严治党要求，充分发挥政治核心作用，通过开展“真北中学‘两创一巩固’学习型党组织”创建工作，深化党员“阳光助学”行动，激励党员干部争当教书育人的楷模；开展“建立识别、评估、预警、</w:t>
      </w:r>
      <w:r>
        <w:rPr>
          <w:rFonts w:ascii="仿宋" w:eastAsia="仿宋" w:hAnsi="仿宋" w:cs="仿宋" w:hint="eastAsia"/>
          <w:color w:val="000000" w:themeColor="text1"/>
          <w:sz w:val="30"/>
          <w:szCs w:val="30"/>
        </w:rPr>
        <w:t>防控一体化的廉政风险防控体系”机制建设，落实“真北中学党政领导正风肃纪党风廉政责任制”工作；开展教职工思想政治建设常态化管理工作，营造了和谐健康的政治生态环境。学校充分发挥党组织的政治核心和监督保证作用，积极落实“一岗双责”工作机制，大力推行《真北中学党支部落实基层党建工作责任制自查报告制度》，真正做到学校政治思想工作“目标同向、思想同心、工作同步”，有力推进学校的教育教学改革创新，形成了学校党建工作促中心工作发展的良好态势，努力构建党组织统一领导、党政齐抓共管、部门分工负责的工作机制，切实维护学校意识形态</w:t>
      </w:r>
      <w:r>
        <w:rPr>
          <w:rFonts w:ascii="仿宋" w:eastAsia="仿宋" w:hAnsi="仿宋" w:cs="仿宋" w:hint="eastAsia"/>
          <w:color w:val="000000" w:themeColor="text1"/>
          <w:sz w:val="30"/>
          <w:szCs w:val="30"/>
        </w:rPr>
        <w:lastRenderedPageBreak/>
        <w:t>安全。</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二是严格落实党风廉政建设主体责任，营造风清气正氛围。学校制定《真北中学领导班子成员党风廉政建设责任分工》，并主动与其他干部逐级签订党风廉政建设目标责任书。学校党组织严格落实“一岗双责”，按照“谁主管，谁负责”和“分级管理，层层落实”的原则，落实学校廉政风险防控工作机制。深化作风建设，严格执行中央八项规定和实施细则精神，认真贯彻落实《中国共产党廉洁自律准则》和《中国共产党纪律处分条例》，严守政治纪律、组织纪律、财经纪律、工作纪律、生活纪律和廉洁纪律六项纪律，为优化办学环境提供了政治保证。</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三是加强党的</w:t>
      </w:r>
      <w:r>
        <w:rPr>
          <w:rFonts w:ascii="仿宋" w:eastAsia="仿宋" w:hAnsi="仿宋" w:cs="仿宋" w:hint="eastAsia"/>
          <w:color w:val="000000" w:themeColor="text1"/>
          <w:sz w:val="30"/>
          <w:szCs w:val="30"/>
        </w:rPr>
        <w:t>组织建设，健全工作机制，增强党组织的凝聚力。党支部不断完善工作机制，修订了党建工作职责，包括支委会工作职责、支部书记职责、各委员职责等；严格执行中心组学习制度、“三会一课”制度、民主生活会制度、民主评议党员制度、主题党日制度、谈心制度等，学校党建工作开展的规范有序。落实并完成新一届党支部公推直选；建立党员基本信息档案，完善了党费收缴和使用台账，党支部各项活动记录完备。严格执行“三重一大”制度，依法决策程序规范、结果公开。学校重大决策通过行政会议、党员组织生活会、教工大会等形式，在充分酝酿、充分研究的基础上进</w:t>
      </w:r>
      <w:r>
        <w:rPr>
          <w:rFonts w:ascii="仿宋" w:eastAsia="仿宋" w:hAnsi="仿宋" w:cs="仿宋" w:hint="eastAsia"/>
          <w:color w:val="000000" w:themeColor="text1"/>
          <w:sz w:val="30"/>
          <w:szCs w:val="30"/>
        </w:rPr>
        <w:t>行决策。学校通过</w:t>
      </w:r>
      <w:r>
        <w:rPr>
          <w:rFonts w:ascii="仿宋" w:eastAsia="仿宋" w:hAnsi="仿宋" w:cs="仿宋" w:hint="eastAsia"/>
          <w:color w:val="000000" w:themeColor="text1"/>
          <w:sz w:val="30"/>
          <w:szCs w:val="30"/>
        </w:rPr>
        <w:t>APP</w:t>
      </w:r>
      <w:r>
        <w:rPr>
          <w:rFonts w:ascii="仿宋" w:eastAsia="仿宋" w:hAnsi="仿宋" w:cs="仿宋" w:hint="eastAsia"/>
          <w:color w:val="000000" w:themeColor="text1"/>
          <w:sz w:val="30"/>
          <w:szCs w:val="30"/>
        </w:rPr>
        <w:t>校务公示栏、校园网等不同载体及时公开决策信息，自觉接受广大教职工的监督。</w:t>
      </w:r>
    </w:p>
    <w:p w:rsidR="002F2F55" w:rsidRDefault="00766750" w:rsidP="00B0640A">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（二）规范校本课程建设，重视教学常规管理，持续深化教学改进成效初显</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学校坚持“为每位学生的持续发展奠基”的课程建设理念，依据育人目标，构建了“阳光、健康、创享”校本课程，在拓展学习空间、丰富学习资源、探究优化学习方式等方面积极探索实践，为</w:t>
      </w:r>
      <w:r>
        <w:rPr>
          <w:rFonts w:ascii="仿宋" w:eastAsia="仿宋" w:hAnsi="仿宋" w:cs="仿宋" w:hint="eastAsia"/>
          <w:sz w:val="30"/>
          <w:szCs w:val="30"/>
        </w:rPr>
        <w:lastRenderedPageBreak/>
        <w:t>学生未来的学习与生活奠定良好的基础。学校实施以“小班化管理、分层走班教学”的课堂教学策略，不断改进教育教学管理模式，支持和保障学校课程的有效实施，努力把学生培养成具有“好学生、好</w:t>
      </w:r>
      <w:r>
        <w:rPr>
          <w:rFonts w:ascii="仿宋" w:eastAsia="仿宋" w:hAnsi="仿宋" w:cs="仿宋" w:hint="eastAsia"/>
          <w:sz w:val="30"/>
          <w:szCs w:val="30"/>
        </w:rPr>
        <w:t>孩子、好公民”优良品质的合格公民。</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一是积极构建“</w:t>
      </w:r>
      <w:bookmarkStart w:id="1" w:name="_Hlk11921071"/>
      <w:r>
        <w:rPr>
          <w:rFonts w:ascii="仿宋" w:eastAsia="仿宋" w:hAnsi="仿宋" w:cs="仿宋" w:hint="eastAsia"/>
          <w:sz w:val="30"/>
          <w:szCs w:val="30"/>
        </w:rPr>
        <w:t>阳光、健康、创享”校本课程</w:t>
      </w:r>
      <w:bookmarkEnd w:id="1"/>
      <w:r>
        <w:rPr>
          <w:rFonts w:ascii="仿宋" w:eastAsia="仿宋" w:hAnsi="仿宋" w:cs="仿宋" w:hint="eastAsia"/>
          <w:sz w:val="30"/>
          <w:szCs w:val="30"/>
        </w:rPr>
        <w:t>，努力满足学生均衡化、多元化发展需求。学校注重国家课程校本化建设的顶层设计，以国家课程建设标准、上海市课程计划要求等为依据，从提升学生的文化知识水平、生活适应能力、自主学习能力等方面着手，构建涵盖三类课程的“阳光、健康、创享”校本课程，积极发挥课程育人功能。学校注重基于校情、基于教师资源、基于学生学习状况等因素开展学情分析研究，围绕三大领域开展校本化课程建设，初步形成了以“基础知识文化、基本生活能力、自主学习能力”三大领域为核心，以</w:t>
      </w:r>
      <w:r>
        <w:rPr>
          <w:rFonts w:ascii="仿宋" w:eastAsia="仿宋" w:hAnsi="仿宋" w:cs="仿宋" w:hint="eastAsia"/>
          <w:sz w:val="30"/>
          <w:szCs w:val="30"/>
        </w:rPr>
        <w:t>思想意识、体育健身、心理调适、合作交流、实践探索、科技人文等</w:t>
      </w:r>
      <w:r>
        <w:rPr>
          <w:rFonts w:ascii="仿宋" w:eastAsia="仿宋" w:hAnsi="仿宋" w:cs="仿宋" w:hint="eastAsia"/>
          <w:sz w:val="30"/>
          <w:szCs w:val="30"/>
        </w:rPr>
        <w:t>18</w:t>
      </w:r>
      <w:r>
        <w:rPr>
          <w:rFonts w:ascii="仿宋" w:eastAsia="仿宋" w:hAnsi="仿宋" w:cs="仿宋" w:hint="eastAsia"/>
          <w:sz w:val="30"/>
          <w:szCs w:val="30"/>
        </w:rPr>
        <w:t>个课程模块为配套结构的“阳光型、健康型、创享型”校本课程架构图，在注重夯实学习基础的同时，注重与学生未来发展所需的关键能力相衔接。学校积极整合基础型、拓展型、探究性三类课程资源，三大领域的课程目标清晰，课程结构比较完整，</w:t>
      </w:r>
      <w:r>
        <w:rPr>
          <w:rFonts w:ascii="仿宋" w:eastAsia="仿宋" w:hAnsi="仿宋" w:cs="仿宋" w:hint="eastAsia"/>
          <w:sz w:val="30"/>
          <w:szCs w:val="30"/>
        </w:rPr>
        <w:t>18</w:t>
      </w:r>
      <w:r>
        <w:rPr>
          <w:rFonts w:ascii="仿宋" w:eastAsia="仿宋" w:hAnsi="仿宋" w:cs="仿宋" w:hint="eastAsia"/>
          <w:sz w:val="30"/>
          <w:szCs w:val="30"/>
        </w:rPr>
        <w:t>个课程模块的课程建设分目标、内容要求、实施策略、评价与保障等要素齐全。学校通过挖掘内部潜力、借力社会资源、购买社会服务、加强校企联合等形式，开设较为丰富的拓展型、探究性校本课程，积极配置相关的课程建设资源，形成了《公民读本主</w:t>
      </w:r>
      <w:r>
        <w:rPr>
          <w:rFonts w:ascii="仿宋" w:eastAsia="仿宋" w:hAnsi="仿宋" w:cs="仿宋" w:hint="eastAsia"/>
          <w:sz w:val="30"/>
          <w:szCs w:val="30"/>
        </w:rPr>
        <w:t>题教育</w:t>
      </w:r>
      <w:r>
        <w:rPr>
          <w:rFonts w:ascii="仿宋" w:eastAsia="仿宋" w:hAnsi="仿宋" w:cs="仿宋" w:hint="eastAsia"/>
          <w:sz w:val="30"/>
          <w:szCs w:val="30"/>
        </w:rPr>
        <w:t>A</w:t>
      </w:r>
      <w:r>
        <w:rPr>
          <w:rFonts w:ascii="仿宋" w:eastAsia="仿宋" w:hAnsi="仿宋" w:cs="仿宋" w:hint="eastAsia"/>
          <w:sz w:val="30"/>
          <w:szCs w:val="30"/>
        </w:rPr>
        <w:t>类课程》《昆剧》《走进非遗》《我行我绣》《数字油画与美术欣赏》《食用菌栽培》《真如古镇历史探究》等近四十门校本特色课程，为学生全面发展、有个性发展拓宽了学习空间。</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二是加强课程管理，保障三类课程的有效落实。学校严格执行国家课程计划，开齐开足三类课程。学校有较为完善的三类课程实</w:t>
      </w:r>
      <w:r>
        <w:rPr>
          <w:rFonts w:ascii="仿宋" w:eastAsia="仿宋" w:hAnsi="仿宋" w:cs="仿宋" w:hint="eastAsia"/>
          <w:sz w:val="30"/>
          <w:szCs w:val="30"/>
        </w:rPr>
        <w:lastRenderedPageBreak/>
        <w:t>施方案，建立了三类课程管理制度和教学质量保障制度。学校成立了以校长室为领导、校党支部为监督保障的课程建设管理小组，承担课程建设与实施的管理与协调工作；建立了学校课程督导部，加强对学校课程有效实施的监督与管理；进一步明确校本课程开</w:t>
      </w:r>
      <w:r>
        <w:rPr>
          <w:rFonts w:ascii="仿宋" w:eastAsia="仿宋" w:hAnsi="仿宋" w:cs="仿宋" w:hint="eastAsia"/>
          <w:sz w:val="30"/>
          <w:szCs w:val="30"/>
        </w:rPr>
        <w:t>发部、课程与教学服务中心、课程服务保障中心、人力资源保障中心、学生发展指导中心等部门在学校校本课程实施过程中所承担的工作职责，分层管理制度落实到位。</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三是大力开展课堂教学改革，推进校本课程的有效实施。学校坚持尊重差异、优化思维的有效课堂教学策略，积极开展“辅优、托底、抓中间”的教学手段，以分层作业命题设计和学生多元评价为抓手，采用“小班化教学、走班制选课、辅导”的教学管理形式，强化教学五环节管理，落实教学常规，引导教师关注课堂效能，提高教学有效性。学校通过开展《基于问题导向的课堂实践研究》，开展《“精彩五分</w:t>
      </w:r>
      <w:r>
        <w:rPr>
          <w:rFonts w:ascii="仿宋" w:eastAsia="仿宋" w:hAnsi="仿宋" w:cs="仿宋" w:hint="eastAsia"/>
          <w:sz w:val="30"/>
          <w:szCs w:val="30"/>
        </w:rPr>
        <w:t>钟”课堂改进实施计划》，进行了“创设问题情景策略研究”、“‘六步’活动教学策略研究”、“体验—感悟式教学策略研究”、“学生参与设计自主活动策略研究”等课堂教学改革实践，激励教师不断优化教学设计、改变学生学习方式，推进学校校本课程的有效实施。</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四是加强课程评价，保障课程建设工作不断优化。学校组建了“真北中学课程督导部”，课程督导组注重对学校校本课程的开发、申报、实施、评价等工作进行管理，定期对国家课程的校本化实施情况进行检查评估，尤其是对语文、历史、思品等国家部编教材的使用情况、教师培训情况进行检查。课程督导部还通过制定《真北中学校本课程学生评价表》《真北中学课程实施过程记录表》等评价量表，组织课程督导组成员定期进课堂听评课；开展干部不定期听评课查访等评价形式，每学期对基础型课程、拓展型课程、探究性</w:t>
      </w:r>
      <w:r>
        <w:rPr>
          <w:rFonts w:ascii="仿宋" w:eastAsia="仿宋" w:hAnsi="仿宋" w:cs="仿宋" w:hint="eastAsia"/>
          <w:sz w:val="30"/>
          <w:szCs w:val="30"/>
        </w:rPr>
        <w:lastRenderedPageBreak/>
        <w:t>课程的实施情况进行评估、监管，尤其是对校本化特色</w:t>
      </w:r>
      <w:r>
        <w:rPr>
          <w:rFonts w:ascii="仿宋" w:eastAsia="仿宋" w:hAnsi="仿宋" w:cs="仿宋" w:hint="eastAsia"/>
          <w:sz w:val="30"/>
          <w:szCs w:val="30"/>
        </w:rPr>
        <w:t>课程开设与实施的情况进行筛选，形成等第制评估结果，大力培养校本特色品牌课程；学校给予优秀课程开发的教师奖励激励，并作为教师评选优秀教师、骨干教师申报的参考依据。学校初步形成了校本课程开发、教师课程申报管理、学生选课平台、校本课程评价一体化开发与实施的管理机制。</w:t>
      </w:r>
    </w:p>
    <w:p w:rsidR="002F2F55" w:rsidRDefault="00766750" w:rsidP="00B0640A">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（三）德育聚焦课堂主阵地，主题教育活动形式多样，德育工作取得良好成效</w:t>
      </w:r>
    </w:p>
    <w:p w:rsidR="002F2F55" w:rsidRDefault="00766750">
      <w:pPr>
        <w:widowControl/>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学校重视德育工作，以课堂教学为主阵地，积极落实“社会主义核心价值观教育、公民人格教育”工作；以丰富的德育教育活动落实“尊重他人、乐于助人、善于合作、勇于创新”的学校德育工作目标，大</w:t>
      </w:r>
      <w:r>
        <w:rPr>
          <w:rFonts w:ascii="仿宋" w:eastAsia="仿宋" w:hAnsi="仿宋" w:cs="仿宋" w:hint="eastAsia"/>
          <w:sz w:val="30"/>
          <w:szCs w:val="30"/>
        </w:rPr>
        <w:t>力培养具备“人文底蕴、科学精神、学会学习、健康生活、责任担当、实践创新”等综合素养的真北中学“阳光少年”。学校抓实行为规范教育，促进学生良好行规的养成，荣获</w:t>
      </w:r>
      <w:r>
        <w:rPr>
          <w:rFonts w:ascii="仿宋" w:eastAsia="仿宋" w:hAnsi="仿宋" w:cs="仿宋" w:hint="eastAsia"/>
          <w:bCs/>
          <w:color w:val="000000"/>
          <w:sz w:val="30"/>
          <w:szCs w:val="30"/>
        </w:rPr>
        <w:t>普陀区五星级行为规范示范校</w:t>
      </w:r>
      <w:r>
        <w:rPr>
          <w:rFonts w:ascii="仿宋" w:eastAsia="仿宋" w:hAnsi="仿宋" w:cs="仿宋" w:hint="eastAsia"/>
          <w:sz w:val="30"/>
          <w:szCs w:val="30"/>
        </w:rPr>
        <w:t>称号，并积极争创上海市中小学生行为规范示范校。</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学校以课堂育人为主阵地，充分挖掘“社会主义核心价值观教育、公民人格教育”等工作的各类资源，将“核心价值观教育”等渗透到课堂教学中，不断提高德育工作的有效性。一是加强对“核心价值观教育、公民人格教育”等多项工作的组织领导。学校成立“核心价值观教育、公民人格教育”工作领导小组，进一步明</w:t>
      </w:r>
      <w:r>
        <w:rPr>
          <w:rFonts w:ascii="仿宋" w:eastAsia="仿宋" w:hAnsi="仿宋" w:cs="仿宋" w:hint="eastAsia"/>
          <w:sz w:val="30"/>
          <w:szCs w:val="30"/>
        </w:rPr>
        <w:t>确职责分工，积极履职，工作成效明显。二是制定了专项工作方案，积极落实“核心价值观教育、公民人格教育”进课堂。学校制定了《上海市真北中学“社会主义核心价值观教育”进课堂工作方案》，充分挖掘基础型课程、拓展型课程中蕴含的“核心价值观教育”的内涵，在课堂教学中不断扩大德育渗透的范围。三是形成了“核心价值观</w:t>
      </w:r>
      <w:r>
        <w:rPr>
          <w:rFonts w:ascii="仿宋" w:eastAsia="仿宋" w:hAnsi="仿宋" w:cs="仿宋" w:hint="eastAsia"/>
          <w:sz w:val="30"/>
          <w:szCs w:val="30"/>
        </w:rPr>
        <w:lastRenderedPageBreak/>
        <w:t>教育、公民人格教育”工作系列成果。学校组织开展各个学科的教研组“核心价值观教育、公民人格教育”进课堂的学习和讨论，挖掘语文、思品、历史、地理、体育、自然等显性学科中有关</w:t>
      </w:r>
      <w:r>
        <w:rPr>
          <w:rFonts w:ascii="仿宋" w:eastAsia="仿宋" w:hAnsi="仿宋" w:cs="仿宋" w:hint="eastAsia"/>
          <w:sz w:val="30"/>
          <w:szCs w:val="30"/>
        </w:rPr>
        <w:t>“</w:t>
      </w:r>
      <w:r>
        <w:rPr>
          <w:rFonts w:ascii="仿宋" w:eastAsia="仿宋" w:hAnsi="仿宋" w:cs="仿宋" w:hint="eastAsia"/>
          <w:sz w:val="30"/>
          <w:szCs w:val="30"/>
        </w:rPr>
        <w:t>核心价值观教育、公民人格教育</w:t>
      </w:r>
      <w:r>
        <w:rPr>
          <w:rFonts w:ascii="仿宋" w:eastAsia="仿宋" w:hAnsi="仿宋" w:cs="仿宋" w:hint="eastAsia"/>
          <w:sz w:val="30"/>
          <w:szCs w:val="30"/>
        </w:rPr>
        <w:t>”</w:t>
      </w:r>
      <w:r>
        <w:rPr>
          <w:rFonts w:ascii="仿宋" w:eastAsia="仿宋" w:hAnsi="仿宋" w:cs="仿宋" w:hint="eastAsia"/>
          <w:sz w:val="30"/>
          <w:szCs w:val="30"/>
        </w:rPr>
        <w:t>等德育元素，</w:t>
      </w:r>
      <w:r>
        <w:rPr>
          <w:rFonts w:ascii="仿宋" w:eastAsia="仿宋" w:hAnsi="仿宋" w:cs="仿宋" w:hint="eastAsia"/>
          <w:sz w:val="30"/>
          <w:szCs w:val="30"/>
        </w:rPr>
        <w:t>积极梳理语文、历史、音乐、美术等学科中优秀民族传统文化教育的素材，形成了《真北中学“核心价值观教育、公民人格教育”融入学科教学案例集》、《真北中学“民族精神教育、生命教育”各学科教案集》、《真北中学中华传统节庆文化活动设计选集》《“我的育人故事”案例集》等学科德育成果，促进学科德育工作目标的有效落实。</w:t>
      </w:r>
    </w:p>
    <w:p w:rsidR="002F2F55" w:rsidRDefault="00766750">
      <w:pPr>
        <w:widowControl/>
        <w:snapToGrid w:val="0"/>
        <w:spacing w:line="520" w:lineRule="exact"/>
        <w:ind w:firstLineChars="200" w:firstLine="600"/>
        <w:rPr>
          <w:rFonts w:ascii="仿宋" w:eastAsia="仿宋" w:hAnsi="仿宋" w:cs="仿宋"/>
          <w:bCs/>
          <w:color w:val="000000"/>
          <w:kern w:val="0"/>
          <w:sz w:val="30"/>
          <w:szCs w:val="30"/>
        </w:rPr>
      </w:pPr>
      <w:r>
        <w:rPr>
          <w:rFonts w:ascii="仿宋" w:eastAsia="仿宋" w:hAnsi="仿宋" w:cs="仿宋" w:hint="eastAsia"/>
          <w:color w:val="000000"/>
          <w:sz w:val="30"/>
          <w:szCs w:val="30"/>
        </w:rPr>
        <w:t>学校以培养学生具有良好的行为习惯为突破口，大力开展行规教育。学校明确了“生活习惯、学习习惯、交往礼仪、集体活动、社会规范”等五个方面的学生行为规范目标要求，不断修订和</w:t>
      </w:r>
      <w:r>
        <w:rPr>
          <w:rFonts w:ascii="仿宋" w:eastAsia="仿宋" w:hAnsi="仿宋" w:cs="仿宋" w:hint="eastAsia"/>
          <w:sz w:val="30"/>
          <w:szCs w:val="30"/>
        </w:rPr>
        <w:t>细化《真北中学学生行为规范养成教育操作细则》与评价标准，采用日常行规检查与周评比、月评优、学期奖励、年度表彰等相结合的管理形式，不断加强校内教育与社会实践结合的教育方式；强化学生会、少先队自我管理意识，创设学生自我教育、自我管理的实践岗位和体验平台，通过开展“我爱我的祖国，我爱我的家乡”系列教育活动，学校“学生行为规范养成教育”取得了良好的成效，学校被评为普陀区学生行为规范五星级示范校。现场督导观察发现：学生</w:t>
      </w:r>
      <w:r>
        <w:rPr>
          <w:rFonts w:ascii="仿宋" w:eastAsia="仿宋" w:hAnsi="仿宋" w:cs="仿宋" w:hint="eastAsia"/>
          <w:bCs/>
          <w:color w:val="000000"/>
          <w:kern w:val="0"/>
          <w:sz w:val="30"/>
          <w:szCs w:val="30"/>
        </w:rPr>
        <w:t>文明礼貌、淳朴阳光，行为规范良好。</w:t>
      </w:r>
    </w:p>
    <w:p w:rsidR="002F2F55" w:rsidRDefault="00766750">
      <w:pPr>
        <w:widowControl/>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积极开展以“文化融合”为主题的中学生研学社会实践活动，为学生全面</w:t>
      </w:r>
      <w:r>
        <w:rPr>
          <w:rFonts w:ascii="仿宋" w:eastAsia="仿宋" w:hAnsi="仿宋" w:cs="仿宋" w:hint="eastAsia"/>
          <w:sz w:val="30"/>
          <w:szCs w:val="30"/>
        </w:rPr>
        <w:t>发展提供多元化、个性化服务。一是开展面向全校学生的主题研学活动。学校充分利用区域德育教育五大学堂课程资源，以“真北中学阳光德育课程”中的“社会主义核心价值观”四大模块教育和“公民人格教育”三大模块的教育为重点，开展了参观东方明珠电视塔、环球金融中心、中华艺术宫等地标建筑，感受上海</w:t>
      </w:r>
      <w:r>
        <w:rPr>
          <w:rFonts w:ascii="仿宋" w:eastAsia="仿宋" w:hAnsi="仿宋" w:cs="仿宋" w:hint="eastAsia"/>
          <w:sz w:val="30"/>
          <w:szCs w:val="30"/>
        </w:rPr>
        <w:lastRenderedPageBreak/>
        <w:t>城市的中国优秀传统文化元素以及国际元素；组织学生开展“锦绣河湾”研学游系列活动，佘山森林公园专题考察研究为主的“春之韵律”、“秋之蓬勃”社会实践活动等等，增加社会实践体验经验，培养学生的文化自信。二是面向部分学生及家庭开展主题研学亲</w:t>
      </w:r>
      <w:r>
        <w:rPr>
          <w:rFonts w:ascii="仿宋" w:eastAsia="仿宋" w:hAnsi="仿宋" w:cs="仿宋" w:hint="eastAsia"/>
          <w:sz w:val="30"/>
          <w:szCs w:val="30"/>
        </w:rPr>
        <w:t>子活动。学校以“真北中学学生国际、国内研学护照”有效使用为载体，利用节假日开展上海迪士尼乐园参观、嘉定百果园拓展训练等国内研学亲子活动，组织部分学生开展赴新加坡、英国部分城市的海外研学亲子活动，积极为学生创设多元发展的实践体验平台，帮助学生开拓视野，不断丰富学校育人模式，提升育人实效。</w:t>
      </w:r>
    </w:p>
    <w:p w:rsidR="002F2F55" w:rsidRDefault="00766750" w:rsidP="00B0640A">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（四）注重师德师风建设，优化教师队伍结构，为教师队伍可持续发展提供保障</w:t>
      </w:r>
    </w:p>
    <w:p w:rsidR="002F2F55" w:rsidRDefault="00766750">
      <w:pPr>
        <w:widowControl/>
        <w:snapToGrid w:val="0"/>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学校高度重视队伍建设，以坚持“重师德、讲实绩、看潜力”教师队伍建设发展目标为方向，以“赏识学生、相信学生、指导学生、成就学生”的师德建设目标为标准，加强</w:t>
      </w:r>
      <w:r>
        <w:rPr>
          <w:rFonts w:ascii="仿宋" w:eastAsia="仿宋" w:hAnsi="仿宋" w:cs="仿宋" w:hint="eastAsia"/>
          <w:color w:val="000000" w:themeColor="text1"/>
          <w:sz w:val="30"/>
          <w:szCs w:val="30"/>
        </w:rPr>
        <w:t>师德师风建设，弘扬教师爱岗敬业精神；不断优队伍结构，开展分层分类培养，助推教师规范化、专业化发展；以校本教研系列主题研究为手段，提高教师教学设计水平，提升课堂教学有效性。</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一是努力</w:t>
      </w:r>
      <w:r>
        <w:rPr>
          <w:rFonts w:ascii="仿宋" w:eastAsia="仿宋" w:hAnsi="仿宋" w:cs="仿宋" w:hint="eastAsia"/>
          <w:sz w:val="30"/>
          <w:szCs w:val="30"/>
        </w:rPr>
        <w:t>铸造高尚的师德修养，提升教师的人文修养，提高教师的综合素质。学校坚持开展教师师德修为建设工作，修订《真北中学教师师德规范》，不断强化师德师风建设，引导教师自觉遵守教师职业道德规范。学校以争做“四有教师”为目标，积极组织开展《真北中学教工思想状况调研》、《真北中学职业倦怠调研》等专项调研工作，并在“真北中学教师育人目标”征集的过程中</w:t>
      </w:r>
      <w:r>
        <w:rPr>
          <w:rFonts w:ascii="仿宋" w:eastAsia="仿宋" w:hAnsi="仿宋" w:cs="仿宋" w:hint="eastAsia"/>
          <w:sz w:val="30"/>
          <w:szCs w:val="30"/>
        </w:rPr>
        <w:t>，依托调研结果，科学分析原因、把握教师思想动态，以“讲究外表美，丰富内涵美”为主题，结合《新时代中小学教师职业行为十项准则》、普陀区教育系统“六要六不”行风建设规范要求，开展多种形式的</w:t>
      </w:r>
      <w:r>
        <w:rPr>
          <w:rFonts w:ascii="仿宋" w:eastAsia="仿宋" w:hAnsi="仿宋" w:cs="仿宋" w:hint="eastAsia"/>
          <w:sz w:val="30"/>
          <w:szCs w:val="30"/>
        </w:rPr>
        <w:lastRenderedPageBreak/>
        <w:t>学习活动，提升教师思想觉悟。完善教师专业发展绩效考核机制，改进师德规范的评价和考核管理，开展市区园丁奖评选、“我心目中的好老师”评选等活动，弘扬敬业爱岗、无私奉献的园丁精神。</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color w:val="000000" w:themeColor="text1"/>
          <w:sz w:val="30"/>
          <w:szCs w:val="30"/>
        </w:rPr>
        <w:t>二是</w:t>
      </w:r>
      <w:r>
        <w:rPr>
          <w:rFonts w:ascii="仿宋" w:eastAsia="仿宋" w:hAnsi="仿宋" w:cs="仿宋" w:hint="eastAsia"/>
          <w:sz w:val="30"/>
          <w:szCs w:val="30"/>
        </w:rPr>
        <w:t>优化教师队伍结构，提升教师专业素养，助推教师专业化发展。学校采取各种措施，努力优化教师队伍结构，全校</w:t>
      </w:r>
      <w:r>
        <w:rPr>
          <w:rFonts w:ascii="仿宋" w:eastAsia="仿宋" w:hAnsi="仿宋" w:cs="仿宋" w:hint="eastAsia"/>
          <w:sz w:val="30"/>
          <w:szCs w:val="30"/>
        </w:rPr>
        <w:t>58</w:t>
      </w:r>
      <w:r>
        <w:rPr>
          <w:rFonts w:ascii="仿宋" w:eastAsia="仿宋" w:hAnsi="仿宋" w:cs="仿宋" w:hint="eastAsia"/>
          <w:sz w:val="30"/>
          <w:szCs w:val="30"/>
        </w:rPr>
        <w:t>位专任教师中，青年教师占比</w:t>
      </w:r>
      <w:r>
        <w:rPr>
          <w:rFonts w:ascii="仿宋" w:eastAsia="仿宋" w:hAnsi="仿宋" w:cs="仿宋" w:hint="eastAsia"/>
          <w:sz w:val="30"/>
          <w:szCs w:val="30"/>
        </w:rPr>
        <w:t>34.5%</w:t>
      </w:r>
      <w:r>
        <w:rPr>
          <w:rFonts w:ascii="仿宋" w:eastAsia="仿宋" w:hAnsi="仿宋" w:cs="仿宋" w:hint="eastAsia"/>
          <w:sz w:val="30"/>
          <w:szCs w:val="30"/>
        </w:rPr>
        <w:t>，中年教</w:t>
      </w:r>
      <w:r>
        <w:rPr>
          <w:rFonts w:ascii="仿宋" w:eastAsia="仿宋" w:hAnsi="仿宋" w:cs="仿宋" w:hint="eastAsia"/>
          <w:sz w:val="30"/>
          <w:szCs w:val="30"/>
        </w:rPr>
        <w:t>师占比</w:t>
      </w:r>
      <w:r>
        <w:rPr>
          <w:rFonts w:ascii="仿宋" w:eastAsia="仿宋" w:hAnsi="仿宋" w:cs="仿宋" w:hint="eastAsia"/>
          <w:sz w:val="30"/>
          <w:szCs w:val="30"/>
        </w:rPr>
        <w:t>53%</w:t>
      </w:r>
      <w:r>
        <w:rPr>
          <w:rFonts w:ascii="仿宋" w:eastAsia="仿宋" w:hAnsi="仿宋" w:cs="仿宋" w:hint="eastAsia"/>
          <w:sz w:val="30"/>
          <w:szCs w:val="30"/>
        </w:rPr>
        <w:t>，队伍年龄结构处于稳定向上的趋势；研究生学历的教师占</w:t>
      </w:r>
      <w:r>
        <w:rPr>
          <w:rFonts w:ascii="仿宋" w:eastAsia="仿宋" w:hAnsi="仿宋" w:cs="仿宋" w:hint="eastAsia"/>
          <w:sz w:val="30"/>
          <w:szCs w:val="30"/>
        </w:rPr>
        <w:t>25.9%</w:t>
      </w:r>
      <w:r>
        <w:rPr>
          <w:rFonts w:ascii="仿宋" w:eastAsia="仿宋" w:hAnsi="仿宋" w:cs="仿宋" w:hint="eastAsia"/>
          <w:sz w:val="30"/>
          <w:szCs w:val="30"/>
        </w:rPr>
        <w:t>，本科学历占</w:t>
      </w:r>
      <w:r>
        <w:rPr>
          <w:rFonts w:ascii="仿宋" w:eastAsia="仿宋" w:hAnsi="仿宋" w:cs="仿宋" w:hint="eastAsia"/>
          <w:sz w:val="30"/>
          <w:szCs w:val="30"/>
        </w:rPr>
        <w:t>74.1%</w:t>
      </w:r>
      <w:r>
        <w:rPr>
          <w:rFonts w:ascii="仿宋" w:eastAsia="仿宋" w:hAnsi="仿宋" w:cs="仿宋" w:hint="eastAsia"/>
          <w:sz w:val="30"/>
          <w:szCs w:val="30"/>
        </w:rPr>
        <w:t>，高层次学历教师人数较多；高级职称占</w:t>
      </w:r>
      <w:r>
        <w:rPr>
          <w:rFonts w:ascii="仿宋" w:eastAsia="仿宋" w:hAnsi="仿宋" w:cs="仿宋" w:hint="eastAsia"/>
          <w:sz w:val="30"/>
          <w:szCs w:val="30"/>
        </w:rPr>
        <w:t>21.4%</w:t>
      </w:r>
      <w:r>
        <w:rPr>
          <w:rFonts w:ascii="仿宋" w:eastAsia="仿宋" w:hAnsi="仿宋" w:cs="仿宋" w:hint="eastAsia"/>
          <w:sz w:val="30"/>
          <w:szCs w:val="30"/>
        </w:rPr>
        <w:t>，中级职称占</w:t>
      </w:r>
      <w:r>
        <w:rPr>
          <w:rFonts w:ascii="仿宋" w:eastAsia="仿宋" w:hAnsi="仿宋" w:cs="仿宋" w:hint="eastAsia"/>
          <w:sz w:val="30"/>
          <w:szCs w:val="30"/>
        </w:rPr>
        <w:t>51.8%</w:t>
      </w:r>
      <w:r>
        <w:rPr>
          <w:rFonts w:ascii="仿宋" w:eastAsia="仿宋" w:hAnsi="仿宋" w:cs="仿宋" w:hint="eastAsia"/>
          <w:sz w:val="30"/>
          <w:szCs w:val="30"/>
        </w:rPr>
        <w:t>，专业能力较强的教师成为队伍建设的主力军。经过多年的自培、流动、引进等措施，教师的年龄结构、学历结构和职称结构都得到不断优化，教师队伍结构整体渐趋合理，专业能力不断提升。</w:t>
      </w:r>
    </w:p>
    <w:p w:rsidR="002F2F55" w:rsidRDefault="0076675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三是重视校本研修工作，不断提升教师专业能力。学校不断加强对教研组和备课组的管理，注重以课堂教学实践为基础、教学策略研究为线索、问题解决为方式，从破解学生课堂中遇到的问题出发，通</w:t>
      </w:r>
      <w:r>
        <w:rPr>
          <w:rFonts w:ascii="仿宋" w:eastAsia="仿宋" w:hAnsi="仿宋" w:cs="仿宋" w:hint="eastAsia"/>
          <w:sz w:val="30"/>
          <w:szCs w:val="30"/>
        </w:rPr>
        <w:t>过开展学科课程标准研究、优化课堂教学设计、学科教案评比、分层作业设计等，提高教师的课程执行力，提高课堂教学的效率与质量，并取得良好的成效。学校通过试行《真北中学教师自主发展计划》、《青年骨干选拔和培养方案》、《后备干部选拔和培养方案》等教师培养工作项目，有效实施真北中学教师分类培养工程，形成个性化的培养方案，通过专家名师带教、参与名师工作室学习、教研员专项指导、师徒带教、同伴互助等形式，努力培养市区级骨干教师和优秀青年教师。学校通过聘请市区教研员、特级教师来校指导等形式，开展“走进课堂，走近教师”听课评课活</w:t>
      </w:r>
      <w:r>
        <w:rPr>
          <w:rFonts w:ascii="仿宋" w:eastAsia="仿宋" w:hAnsi="仿宋" w:cs="仿宋" w:hint="eastAsia"/>
          <w:sz w:val="30"/>
          <w:szCs w:val="30"/>
        </w:rPr>
        <w:t>动；借助专家带教指导、上示范课、提供培训机会等手段，帮助教师不断改进和优化自己的教育教学行为，促进专业发展。三年来，学校多名教师在“普陀杯”等区级教师专业能力大赛中取得等第奖。</w:t>
      </w:r>
    </w:p>
    <w:p w:rsidR="002F2F55" w:rsidRDefault="00766750" w:rsidP="00B0640A">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lastRenderedPageBreak/>
        <w:t>二、问题与建议</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（一）加强党组织对学校的领导，创新思想工作的途径方法，提高政治思想工作成效。</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建议：</w:t>
      </w:r>
      <w:r>
        <w:rPr>
          <w:rFonts w:ascii="仿宋" w:eastAsia="仿宋" w:hAnsi="仿宋" w:cs="仿宋" w:hint="eastAsia"/>
          <w:color w:val="000000" w:themeColor="text1"/>
          <w:sz w:val="30"/>
          <w:szCs w:val="30"/>
        </w:rPr>
        <w:t>1</w:t>
      </w:r>
      <w:r>
        <w:rPr>
          <w:rFonts w:ascii="仿宋" w:eastAsia="仿宋" w:hAnsi="仿宋" w:cs="仿宋" w:hint="eastAsia"/>
          <w:color w:val="000000" w:themeColor="text1"/>
          <w:sz w:val="30"/>
          <w:szCs w:val="30"/>
        </w:rPr>
        <w:t>、学校要全面贯彻落实全国教育大会精神，加强党组织的全面领导，党政领导班子要进一步加强政治思想学习，不断提高工作标准和工作要求，进一步加强对原有办学经验的总结与提炼，“四步互助”教研机制、“阳光行动，精准施教”育人策略、校内督导机制等</w:t>
      </w:r>
      <w:r>
        <w:rPr>
          <w:rFonts w:ascii="仿宋" w:eastAsia="仿宋" w:hAnsi="仿宋" w:cs="仿宋" w:hint="eastAsia"/>
          <w:color w:val="000000" w:themeColor="text1"/>
          <w:sz w:val="30"/>
          <w:szCs w:val="30"/>
        </w:rPr>
        <w:t>品牌建设仍然需要传承与发展。学校领导要找准学校的发展点、攻坚点，凝聚起广大干部和全体教职工的自信力，脚踏实地，充分发挥党政领导班子的战斗作用，共同努力，改变学校面貌，让学校在现有的办学基础上，再上新台阶。</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w:t>
      </w:r>
      <w:r>
        <w:rPr>
          <w:rFonts w:ascii="仿宋" w:eastAsia="仿宋" w:hAnsi="仿宋" w:cs="仿宋" w:hint="eastAsia"/>
          <w:color w:val="000000" w:themeColor="text1"/>
          <w:sz w:val="30"/>
          <w:szCs w:val="30"/>
        </w:rPr>
        <w:t>、加强对中层干部的培养、培训，提高中层干部的管理能力、规范化能力和工作效率。可尝试组织教务处、德育处、总务处的中层干部，通过走出去的方式，到同类型学校或教育联合体单位跟岗锻炼培训，结对带教，提升管理能力和专业引领力，促进中层干部的快速成长。</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w:t>
      </w:r>
      <w:r>
        <w:rPr>
          <w:rFonts w:ascii="仿宋" w:eastAsia="仿宋" w:hAnsi="仿宋" w:cs="仿宋" w:hint="eastAsia"/>
          <w:color w:val="000000" w:themeColor="text1"/>
          <w:sz w:val="30"/>
          <w:szCs w:val="30"/>
        </w:rPr>
        <w:t>、充分发挥党组织的政治引领作用，不断增强教育党建之力，在改变学校的困难面貌、推进学校进一步发展等方面，有实招、有作为、有能力、有建树。</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二）教师队伍建设工作亟待加强。学校的市区级优秀教师培养工作相对薄弱，区骨干教师序列中，学科带头人、高级指导教师缺乏；“真北中学教师专业发展提升计划”中的教师个人发展目标的明确与有效落实等有待进一步细化，奖励激励机制建设有待进一步完善。</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建议：学校要深入研究教师队伍发展现状，制定形成新一轮《上海市真北中学教师队伍建设行动计划》。针对不同发展阶段教师的个</w:t>
      </w:r>
      <w:r>
        <w:rPr>
          <w:rFonts w:ascii="仿宋" w:eastAsia="仿宋" w:hAnsi="仿宋" w:cs="仿宋" w:hint="eastAsia"/>
          <w:color w:val="000000" w:themeColor="text1"/>
          <w:sz w:val="30"/>
          <w:szCs w:val="30"/>
        </w:rPr>
        <w:lastRenderedPageBreak/>
        <w:t>性化需求，在抓好领军</w:t>
      </w:r>
      <w:r>
        <w:rPr>
          <w:rFonts w:ascii="仿宋" w:eastAsia="仿宋" w:hAnsi="仿宋" w:cs="仿宋" w:hint="eastAsia"/>
          <w:color w:val="000000" w:themeColor="text1"/>
          <w:sz w:val="30"/>
          <w:szCs w:val="30"/>
        </w:rPr>
        <w:t>人物和学科骨干教师培养的同时，立足课堂教学能力的提升，创造条件为年轻教师提供高层次学习和实践的机会，为不同发展阶段的每位教师专业发展提供针对性支持，尤其要着眼学科教学研究、国家课程校本化实施、适合中考改革的课堂有效教学研究等的可持续发展，在培育优势学科教师方面发挥政策保障作用。</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三）教学管理工作还有待进一步完善。督导观课和访谈过程中了解到：学校在尊重学生差异、实施分类分层、小班化、走班制校本化课程有效实施的过程中，部分年级、班级的学生在课堂中的自主活动还不够，教师的课堂教学还呈现“一言堂”、“单声道”现象</w:t>
      </w:r>
      <w:r>
        <w:rPr>
          <w:rFonts w:ascii="仿宋" w:eastAsia="仿宋" w:hAnsi="仿宋" w:cs="仿宋" w:hint="eastAsia"/>
          <w:color w:val="000000" w:themeColor="text1"/>
          <w:sz w:val="30"/>
          <w:szCs w:val="30"/>
        </w:rPr>
        <w:t>，淡化和忽略学生的主动参与。学校课堂教学应用信息技术的层次还不够高，在以信息技术驱动课堂教学变革方面，还有进一步提升的空间。</w:t>
      </w:r>
    </w:p>
    <w:p w:rsidR="002F2F55" w:rsidRDefault="00766750">
      <w:pPr>
        <w:spacing w:line="52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建议：进一步加大教师教学理念转化为教学行为的力度，整理、形成各教研组具有学科特色的课堂教改策略与方法，推动课堂教学改革不断深化。面对新中考的挑战和学生学习状况的改变，学校要进一步加大对思品、语文、历史等学科为引领的课堂教学改革的领导和管理，通过开展学科教学教研，继续加大探索课堂教学模式的改革力度，不断提升学校管理人员和学科老师的应对能力。同时，建议学校以项目驱动方式，发挥学校信息化技</w:t>
      </w:r>
      <w:r>
        <w:rPr>
          <w:rFonts w:ascii="仿宋" w:eastAsia="仿宋" w:hAnsi="仿宋" w:cs="仿宋" w:hint="eastAsia"/>
          <w:color w:val="000000" w:themeColor="text1"/>
          <w:sz w:val="30"/>
          <w:szCs w:val="30"/>
        </w:rPr>
        <w:t>能优良教师（特别是年轻教师）在信息化运用方面的优势，大力开展推进信息技术与课堂教学深度融合的探索，促进信息化提升课堂教学效果的变革。</w:t>
      </w: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2F2F55">
      <w:pPr>
        <w:widowControl/>
        <w:spacing w:line="480" w:lineRule="exact"/>
        <w:ind w:rightChars="101" w:right="212"/>
        <w:jc w:val="left"/>
        <w:rPr>
          <w:rFonts w:ascii="仿宋" w:eastAsia="仿宋" w:hAnsi="仿宋" w:cs="仿宋"/>
          <w:sz w:val="30"/>
          <w:szCs w:val="30"/>
        </w:rPr>
      </w:pPr>
    </w:p>
    <w:p w:rsidR="002F2F55" w:rsidRDefault="00766750">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中共上海市普陀区教育工作委员会</w:t>
      </w:r>
      <w:r>
        <w:rPr>
          <w:rFonts w:ascii="仿宋" w:eastAsia="仿宋" w:hAnsi="仿宋" w:cs="仿宋" w:hint="eastAsia"/>
          <w:sz w:val="30"/>
          <w:szCs w:val="30"/>
        </w:rPr>
        <w:t xml:space="preserve">    </w:t>
      </w:r>
      <w:r>
        <w:rPr>
          <w:rFonts w:ascii="仿宋" w:eastAsia="仿宋" w:hAnsi="仿宋" w:cs="仿宋" w:hint="eastAsia"/>
          <w:sz w:val="30"/>
          <w:szCs w:val="30"/>
        </w:rPr>
        <w:t>上海市普陀区教育局</w:t>
      </w:r>
      <w:r>
        <w:rPr>
          <w:rFonts w:ascii="仿宋" w:eastAsia="仿宋" w:hAnsi="仿宋" w:cs="仿宋" w:hint="eastAsia"/>
          <w:sz w:val="30"/>
          <w:szCs w:val="30"/>
        </w:rPr>
        <w:t xml:space="preserve"> </w:t>
      </w:r>
    </w:p>
    <w:p w:rsidR="002F2F55" w:rsidRDefault="00766750">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 xml:space="preserve"> </w:t>
      </w:r>
    </w:p>
    <w:p w:rsidR="002F2F55" w:rsidRDefault="00766750">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上海市普陀区人民政府教育督导室</w:t>
      </w:r>
    </w:p>
    <w:p w:rsidR="002F2F55" w:rsidRDefault="002F2F55">
      <w:pPr>
        <w:widowControl/>
        <w:spacing w:line="560" w:lineRule="exact"/>
        <w:ind w:rightChars="101" w:right="212" w:firstLineChars="62" w:firstLine="186"/>
        <w:jc w:val="left"/>
        <w:rPr>
          <w:rFonts w:ascii="仿宋" w:eastAsia="仿宋" w:hAnsi="仿宋" w:cs="仿宋"/>
          <w:sz w:val="30"/>
          <w:szCs w:val="30"/>
        </w:rPr>
      </w:pPr>
    </w:p>
    <w:p w:rsidR="002F2F55" w:rsidRDefault="00766750">
      <w:pPr>
        <w:widowControl/>
        <w:spacing w:line="560" w:lineRule="exact"/>
        <w:jc w:val="center"/>
        <w:rPr>
          <w:rFonts w:ascii="仿宋" w:eastAsia="仿宋" w:hAnsi="仿宋" w:cs="仿宋"/>
          <w:sz w:val="30"/>
          <w:szCs w:val="30"/>
        </w:rPr>
      </w:pPr>
      <w:r>
        <w:rPr>
          <w:rFonts w:ascii="仿宋" w:eastAsia="仿宋" w:hAnsi="仿宋" w:cs="仿宋" w:hint="eastAsia"/>
          <w:sz w:val="30"/>
          <w:szCs w:val="30"/>
        </w:rPr>
        <w:t>201</w:t>
      </w:r>
      <w:r>
        <w:rPr>
          <w:rFonts w:ascii="仿宋" w:eastAsia="仿宋" w:hAnsi="仿宋" w:cs="仿宋" w:hint="eastAsia"/>
          <w:sz w:val="30"/>
          <w:szCs w:val="30"/>
        </w:rPr>
        <w:t>9</w:t>
      </w:r>
      <w:r>
        <w:rPr>
          <w:rFonts w:ascii="仿宋" w:eastAsia="仿宋" w:hAnsi="仿宋" w:cs="仿宋" w:hint="eastAsia"/>
          <w:sz w:val="30"/>
          <w:szCs w:val="30"/>
        </w:rPr>
        <w:t>年</w:t>
      </w:r>
      <w:r>
        <w:rPr>
          <w:rFonts w:ascii="仿宋" w:eastAsia="仿宋" w:hAnsi="仿宋" w:cs="仿宋" w:hint="eastAsia"/>
          <w:sz w:val="30"/>
          <w:szCs w:val="30"/>
        </w:rPr>
        <w:t>9</w:t>
      </w:r>
      <w:r>
        <w:rPr>
          <w:rFonts w:ascii="仿宋" w:eastAsia="仿宋" w:hAnsi="仿宋" w:cs="仿宋" w:hint="eastAsia"/>
          <w:sz w:val="30"/>
          <w:szCs w:val="30"/>
        </w:rPr>
        <w:t>月</w:t>
      </w:r>
    </w:p>
    <w:p w:rsidR="002F2F55" w:rsidRDefault="002F2F55">
      <w:pPr>
        <w:widowControl/>
        <w:spacing w:line="560" w:lineRule="exact"/>
        <w:jc w:val="center"/>
        <w:rPr>
          <w:rFonts w:ascii="仿宋_GB2312" w:eastAsia="仿宋_GB2312"/>
          <w:sz w:val="30"/>
          <w:szCs w:val="30"/>
        </w:rPr>
      </w:pPr>
    </w:p>
    <w:p w:rsidR="002F2F55" w:rsidRDefault="002F2F55">
      <w:pPr>
        <w:widowControl/>
        <w:spacing w:line="560" w:lineRule="exact"/>
        <w:jc w:val="center"/>
        <w:rPr>
          <w:rFonts w:ascii="仿宋_GB2312" w:eastAsia="仿宋_GB2312"/>
          <w:sz w:val="32"/>
          <w:szCs w:val="32"/>
        </w:rPr>
      </w:pPr>
    </w:p>
    <w:p w:rsidR="002F2F55" w:rsidRDefault="002F2F55">
      <w:pPr>
        <w:widowControl/>
        <w:spacing w:line="560" w:lineRule="exact"/>
        <w:jc w:val="center"/>
        <w:rPr>
          <w:rFonts w:ascii="仿宋_GB2312" w:eastAsia="仿宋_GB2312"/>
          <w:sz w:val="32"/>
          <w:szCs w:val="32"/>
        </w:rPr>
      </w:pPr>
    </w:p>
    <w:p w:rsidR="002F2F55" w:rsidRDefault="002F2F55">
      <w:pPr>
        <w:widowControl/>
        <w:spacing w:line="560" w:lineRule="exact"/>
        <w:rPr>
          <w:rFonts w:ascii="仿宋_GB2312" w:eastAsia="仿宋_GB2312"/>
          <w:sz w:val="32"/>
          <w:szCs w:val="32"/>
        </w:rPr>
      </w:pPr>
    </w:p>
    <w:p w:rsidR="002F2F55" w:rsidRDefault="002F2F55">
      <w:pPr>
        <w:widowControl/>
        <w:spacing w:line="560" w:lineRule="exact"/>
        <w:rPr>
          <w:rFonts w:ascii="仿宋_GB2312" w:eastAsia="仿宋_GB2312"/>
          <w:sz w:val="32"/>
          <w:szCs w:val="32"/>
        </w:rPr>
      </w:pPr>
    </w:p>
    <w:p w:rsidR="002F2F55" w:rsidRDefault="002F2F55">
      <w:pPr>
        <w:widowControl/>
        <w:spacing w:line="560" w:lineRule="exact"/>
        <w:rPr>
          <w:rFonts w:ascii="仿宋_GB2312" w:eastAsia="仿宋_GB2312"/>
          <w:sz w:val="32"/>
          <w:szCs w:val="32"/>
        </w:rPr>
      </w:pPr>
    </w:p>
    <w:p w:rsidR="002F2F55" w:rsidRDefault="002F2F55">
      <w:pPr>
        <w:widowControl/>
        <w:spacing w:line="560" w:lineRule="exact"/>
        <w:rPr>
          <w:rFonts w:ascii="仿宋_GB2312" w:eastAsia="仿宋_GB2312"/>
          <w:sz w:val="32"/>
          <w:szCs w:val="32"/>
        </w:rPr>
      </w:pPr>
    </w:p>
    <w:p w:rsidR="002F2F55" w:rsidRDefault="002F2F55">
      <w:pPr>
        <w:adjustRightInd w:val="0"/>
        <w:snapToGrid w:val="0"/>
        <w:spacing w:line="640" w:lineRule="exact"/>
      </w:pPr>
    </w:p>
    <w:p w:rsidR="002F2F55" w:rsidRDefault="002F2F55">
      <w:pPr>
        <w:adjustRightInd w:val="0"/>
        <w:snapToGrid w:val="0"/>
        <w:spacing w:line="640" w:lineRule="exact"/>
      </w:pPr>
    </w:p>
    <w:p w:rsidR="002F2F55" w:rsidRDefault="002F2F55">
      <w:pPr>
        <w:adjustRightInd w:val="0"/>
        <w:snapToGrid w:val="0"/>
        <w:spacing w:line="640" w:lineRule="exact"/>
      </w:pPr>
    </w:p>
    <w:tbl>
      <w:tblPr>
        <w:tblpPr w:leftFromText="180" w:rightFromText="180" w:vertAnchor="text" w:horzAnchor="page" w:tblpX="1847" w:tblpY="906"/>
        <w:tblOverlap w:val="never"/>
        <w:tblW w:w="8748" w:type="dxa"/>
        <w:tblBorders>
          <w:bottom w:val="single" w:sz="4" w:space="0" w:color="auto"/>
        </w:tblBorders>
        <w:tblLayout w:type="fixed"/>
        <w:tblLook w:val="04A0" w:firstRow="1" w:lastRow="0" w:firstColumn="1" w:lastColumn="0" w:noHBand="0" w:noVBand="1"/>
      </w:tblPr>
      <w:tblGrid>
        <w:gridCol w:w="8748"/>
      </w:tblGrid>
      <w:tr w:rsidR="002F2F55">
        <w:trPr>
          <w:trHeight w:val="600"/>
        </w:trPr>
        <w:tc>
          <w:tcPr>
            <w:tcW w:w="8748" w:type="dxa"/>
            <w:tcBorders>
              <w:top w:val="nil"/>
              <w:left w:val="nil"/>
              <w:bottom w:val="single" w:sz="4" w:space="0" w:color="auto"/>
              <w:right w:val="nil"/>
            </w:tcBorders>
            <w:vAlign w:val="center"/>
          </w:tcPr>
          <w:p w:rsidR="002F2F55" w:rsidRDefault="002F2F55">
            <w:pPr>
              <w:widowControl/>
              <w:spacing w:line="560" w:lineRule="exact"/>
              <w:rPr>
                <w:rFonts w:ascii="仿宋_GB2312" w:eastAsia="仿宋_GB2312"/>
                <w:sz w:val="30"/>
                <w:szCs w:val="30"/>
              </w:rPr>
            </w:pPr>
          </w:p>
        </w:tc>
      </w:tr>
      <w:tr w:rsidR="002F2F55">
        <w:trPr>
          <w:trHeight w:val="600"/>
        </w:trPr>
        <w:tc>
          <w:tcPr>
            <w:tcW w:w="8748" w:type="dxa"/>
            <w:tcBorders>
              <w:top w:val="single" w:sz="4" w:space="0" w:color="auto"/>
              <w:left w:val="nil"/>
              <w:bottom w:val="single" w:sz="4" w:space="0" w:color="auto"/>
              <w:right w:val="nil"/>
            </w:tcBorders>
            <w:vAlign w:val="center"/>
          </w:tcPr>
          <w:p w:rsidR="002F2F55" w:rsidRDefault="00766750">
            <w:pPr>
              <w:widowControl/>
              <w:spacing w:line="560" w:lineRule="exact"/>
              <w:ind w:right="252"/>
              <w:rPr>
                <w:rFonts w:ascii="仿宋_GB2312" w:eastAsia="仿宋_GB2312"/>
                <w:sz w:val="30"/>
                <w:szCs w:val="30"/>
              </w:rPr>
            </w:pPr>
            <w:r>
              <w:rPr>
                <w:rFonts w:ascii="仿宋_GB2312" w:eastAsia="仿宋_GB2312" w:hint="eastAsia"/>
                <w:sz w:val="30"/>
                <w:szCs w:val="30"/>
              </w:rPr>
              <w:t>普陀区教育局办公室</w:t>
            </w:r>
            <w:r>
              <w:rPr>
                <w:rFonts w:ascii="仿宋_GB2312" w:eastAsia="仿宋_GB2312" w:hint="eastAsia"/>
                <w:sz w:val="30"/>
                <w:szCs w:val="30"/>
              </w:rPr>
              <w:t xml:space="preserve">                 201</w:t>
            </w:r>
            <w:r>
              <w:rPr>
                <w:rFonts w:ascii="仿宋_GB2312" w:eastAsia="仿宋_GB2312" w:hint="eastAsia"/>
                <w:sz w:val="30"/>
                <w:szCs w:val="30"/>
              </w:rPr>
              <w:t>9</w:t>
            </w:r>
            <w:r>
              <w:rPr>
                <w:rFonts w:ascii="仿宋_GB2312" w:eastAsia="仿宋_GB2312" w:hint="eastAsia"/>
                <w:sz w:val="30"/>
                <w:szCs w:val="30"/>
              </w:rPr>
              <w:t>年</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26</w:t>
            </w:r>
            <w:r>
              <w:rPr>
                <w:rFonts w:ascii="仿宋_GB2312" w:eastAsia="仿宋_GB2312" w:hint="eastAsia"/>
                <w:sz w:val="30"/>
                <w:szCs w:val="30"/>
              </w:rPr>
              <w:t>日印发</w:t>
            </w:r>
          </w:p>
        </w:tc>
      </w:tr>
    </w:tbl>
    <w:p w:rsidR="002F2F55" w:rsidRDefault="002F2F55">
      <w:pPr>
        <w:adjustRightInd w:val="0"/>
        <w:snapToGrid w:val="0"/>
        <w:spacing w:line="640" w:lineRule="exact"/>
      </w:pPr>
    </w:p>
    <w:sectPr w:rsidR="002F2F55">
      <w:footerReference w:type="even" r:id="rId8"/>
      <w:footerReference w:type="default" r:id="rId9"/>
      <w:pgSz w:w="11906" w:h="16838"/>
      <w:pgMar w:top="1701" w:right="1418" w:bottom="1418"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50" w:rsidRDefault="00766750">
      <w:r>
        <w:separator/>
      </w:r>
    </w:p>
  </w:endnote>
  <w:endnote w:type="continuationSeparator" w:id="0">
    <w:p w:rsidR="00766750" w:rsidRDefault="007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55" w:rsidRDefault="00766750">
    <w:pPr>
      <w:pStyle w:val="a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B0640A" w:rsidRPr="00B0640A">
      <w:rPr>
        <w:rFonts w:ascii="宋体" w:hAnsi="宋体"/>
        <w:noProof/>
        <w:sz w:val="24"/>
        <w:szCs w:val="24"/>
        <w:lang w:val="zh-CN"/>
      </w:rPr>
      <w:t>-</w:t>
    </w:r>
    <w:r w:rsidR="00B0640A">
      <w:rPr>
        <w:rFonts w:ascii="宋体" w:hAnsi="宋体"/>
        <w:noProof/>
        <w:sz w:val="24"/>
        <w:szCs w:val="24"/>
      </w:rPr>
      <w:t xml:space="preserve"> 2 -</w:t>
    </w:r>
    <w:r>
      <w:rPr>
        <w:rFonts w:ascii="宋体" w:hAnsi="宋体"/>
        <w:sz w:val="24"/>
        <w:szCs w:val="24"/>
      </w:rPr>
      <w:fldChar w:fldCharType="end"/>
    </w:r>
  </w:p>
  <w:p w:rsidR="002F2F55" w:rsidRDefault="002F2F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55" w:rsidRDefault="00766750">
    <w:pPr>
      <w:pStyle w:val="a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B0640A" w:rsidRPr="00B0640A">
      <w:rPr>
        <w:rFonts w:ascii="宋体" w:hAnsi="宋体"/>
        <w:noProof/>
        <w:sz w:val="24"/>
        <w:szCs w:val="24"/>
        <w:lang w:val="zh-CN"/>
      </w:rPr>
      <w:t>-</w:t>
    </w:r>
    <w:r w:rsidR="00B0640A">
      <w:rPr>
        <w:rFonts w:ascii="宋体" w:hAnsi="宋体"/>
        <w:noProof/>
        <w:sz w:val="24"/>
        <w:szCs w:val="24"/>
      </w:rPr>
      <w:t xml:space="preserve"> 11 -</w:t>
    </w:r>
    <w:r>
      <w:rPr>
        <w:rFonts w:ascii="宋体" w:hAnsi="宋体"/>
        <w:sz w:val="24"/>
        <w:szCs w:val="24"/>
      </w:rPr>
      <w:fldChar w:fldCharType="end"/>
    </w:r>
  </w:p>
  <w:p w:rsidR="002F2F55" w:rsidRDefault="002F2F55">
    <w:pPr>
      <w:pStyle w:val="a6"/>
      <w:ind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50" w:rsidRDefault="00766750">
      <w:r>
        <w:separator/>
      </w:r>
    </w:p>
  </w:footnote>
  <w:footnote w:type="continuationSeparator" w:id="0">
    <w:p w:rsidR="00766750" w:rsidRDefault="00766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5"/>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2F2F55"/>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92E15"/>
    <w:rsid w:val="006C78B2"/>
    <w:rsid w:val="006D4119"/>
    <w:rsid w:val="00734A97"/>
    <w:rsid w:val="007544ED"/>
    <w:rsid w:val="00766750"/>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0640A"/>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2E4D7489"/>
    <w:rsid w:val="31B95FB4"/>
    <w:rsid w:val="3BA15DBD"/>
    <w:rsid w:val="462E6E0B"/>
    <w:rsid w:val="4A104F9E"/>
    <w:rsid w:val="4DDB315D"/>
    <w:rsid w:val="553F4D3F"/>
    <w:rsid w:val="55B02306"/>
    <w:rsid w:val="7BDC1D1E"/>
    <w:rsid w:val="7C3F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character" w:styleId="a9">
    <w:name w:val="Strong"/>
    <w:basedOn w:val="a0"/>
    <w:qFormat/>
    <w:rPr>
      <w:b/>
      <w:bCs/>
    </w:rPr>
  </w:style>
  <w:style w:type="character" w:styleId="aa">
    <w:name w:val="page number"/>
    <w:basedOn w:val="a0"/>
    <w:qFormat/>
  </w:style>
  <w:style w:type="character" w:styleId="ab">
    <w:name w:val="Hyperlink"/>
    <w:basedOn w:val="a0"/>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
    <w:name w:val="列出段落1"/>
    <w:basedOn w:val="a"/>
    <w:uiPriority w:val="34"/>
    <w:qFormat/>
    <w:pPr>
      <w:ind w:firstLineChars="200" w:firstLine="420"/>
    </w:pPr>
    <w:rPr>
      <w:rFonts w:ascii="Calibri" w:hAnsi="Calibri"/>
      <w:szCs w:val="24"/>
    </w:rPr>
  </w:style>
  <w:style w:type="character" w:customStyle="1" w:styleId="con">
    <w:name w:val="con"/>
    <w:qFormat/>
    <w:rPr>
      <w:lang w:val="zh-TW" w:eastAsia="zh-TW"/>
    </w:rPr>
  </w:style>
  <w:style w:type="paragraph" w:customStyle="1" w:styleId="20">
    <w:name w:val="列出段落2"/>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character" w:styleId="a9">
    <w:name w:val="Strong"/>
    <w:basedOn w:val="a0"/>
    <w:qFormat/>
    <w:rPr>
      <w:b/>
      <w:bCs/>
    </w:rPr>
  </w:style>
  <w:style w:type="character" w:styleId="aa">
    <w:name w:val="page number"/>
    <w:basedOn w:val="a0"/>
    <w:qFormat/>
  </w:style>
  <w:style w:type="character" w:styleId="ab">
    <w:name w:val="Hyperlink"/>
    <w:basedOn w:val="a0"/>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
    <w:name w:val="列出段落1"/>
    <w:basedOn w:val="a"/>
    <w:uiPriority w:val="34"/>
    <w:qFormat/>
    <w:pPr>
      <w:ind w:firstLineChars="200" w:firstLine="420"/>
    </w:pPr>
    <w:rPr>
      <w:rFonts w:ascii="Calibri" w:hAnsi="Calibri"/>
      <w:szCs w:val="24"/>
    </w:rPr>
  </w:style>
  <w:style w:type="character" w:customStyle="1" w:styleId="con">
    <w:name w:val="con"/>
    <w:qFormat/>
    <w:rPr>
      <w:lang w:val="zh-TW" w:eastAsia="zh-TW"/>
    </w:rPr>
  </w:style>
  <w:style w:type="paragraph" w:customStyle="1" w:styleId="20">
    <w:name w:val="列出段落2"/>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平行、下行公文（党委）.dot</Template>
  <TotalTime>0</TotalTime>
  <Pages>12</Pages>
  <Words>1150</Words>
  <Characters>6561</Characters>
  <Application>Microsoft Office Word</Application>
  <DocSecurity>0</DocSecurity>
  <Lines>54</Lines>
  <Paragraphs>15</Paragraphs>
  <ScaleCrop>false</ScaleCrop>
  <Company>上海市普陀区教育局</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普教〔〕号                               签发人：</dc:title>
  <dc:creator>邓勇</dc:creator>
  <cp:lastModifiedBy>Microsoft</cp:lastModifiedBy>
  <cp:revision>3</cp:revision>
  <cp:lastPrinted>2018-12-25T06:22:00Z</cp:lastPrinted>
  <dcterms:created xsi:type="dcterms:W3CDTF">2018-12-25T06:28:00Z</dcterms:created>
  <dcterms:modified xsi:type="dcterms:W3CDTF">2021-08-03T02:24:00Z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