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jc w:val="left"/>
        <w:rPr>
          <w:rFonts w:ascii="黑体" w:eastAsia="黑体"/>
          <w:szCs w:val="30"/>
        </w:rPr>
      </w:pPr>
      <w:bookmarkStart w:id="0" w:name="_GoBack"/>
      <w:bookmarkEnd w:id="0"/>
      <w:r>
        <w:rPr>
          <w:rFonts w:hint="eastAsia" w:ascii="黑体" w:eastAsia="黑体"/>
          <w:szCs w:val="30"/>
        </w:rPr>
        <w:t>附件1</w:t>
      </w:r>
    </w:p>
    <w:p>
      <w:pPr>
        <w:pStyle w:val="13"/>
        <w:adjustRightInd w:val="0"/>
        <w:snapToGrid w:val="0"/>
        <w:spacing w:after="0"/>
        <w:ind w:firstLine="0" w:firstLineChars="0"/>
      </w:pPr>
    </w:p>
    <w:p>
      <w:pPr>
        <w:tabs>
          <w:tab w:val="left" w:pos="790"/>
        </w:tabs>
        <w:overflowPunct w:val="0"/>
        <w:topLinePunct/>
        <w:adjustRightInd w:val="0"/>
        <w:snapToGrid w:val="0"/>
        <w:jc w:val="center"/>
        <w:outlineLvl w:val="0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2024民生领域案件查办“铁拳”行动</w:t>
      </w:r>
    </w:p>
    <w:p>
      <w:pPr>
        <w:tabs>
          <w:tab w:val="left" w:pos="790"/>
        </w:tabs>
        <w:overflowPunct w:val="0"/>
        <w:adjustRightInd w:val="0"/>
        <w:snapToGrid w:val="0"/>
        <w:jc w:val="center"/>
        <w:outlineLvl w:val="0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典型案件报送目录</w:t>
      </w:r>
    </w:p>
    <w:p>
      <w:pPr>
        <w:adjustRightInd w:val="0"/>
        <w:snapToGrid w:val="0"/>
        <w:jc w:val="left"/>
        <w:rPr>
          <w:rFonts w:cs="仿宋_GB2312"/>
          <w:sz w:val="24"/>
        </w:rPr>
      </w:pPr>
    </w:p>
    <w:p>
      <w:pPr>
        <w:adjustRightInd w:val="0"/>
        <w:snapToGrid w:val="0"/>
        <w:spacing w:after="60"/>
        <w:jc w:val="left"/>
        <w:rPr>
          <w:rFonts w:cs="仿宋_GB2312"/>
          <w:sz w:val="24"/>
        </w:rPr>
      </w:pPr>
      <w:r>
        <w:rPr>
          <w:rFonts w:hint="eastAsia" w:cs="仿宋_GB2312"/>
          <w:sz w:val="24"/>
        </w:rPr>
        <w:t>单位：</w:t>
      </w:r>
      <w:r>
        <w:rPr>
          <w:rFonts w:hint="eastAsia" w:cs="仿宋_GB2312"/>
          <w:sz w:val="24"/>
          <w:u w:val="single"/>
        </w:rPr>
        <w:t>　　　　　　　　　　　　</w:t>
      </w:r>
      <w:r>
        <w:rPr>
          <w:rFonts w:hint="eastAsia" w:cs="仿宋_GB2312"/>
          <w:sz w:val="24"/>
        </w:rPr>
        <w:t>　　　　　　　　　　　　　　填报周期：</w:t>
      </w:r>
      <w:r>
        <w:rPr>
          <w:rFonts w:hint="eastAsia" w:cs="仿宋_GB2312"/>
          <w:sz w:val="24"/>
          <w:u w:val="single"/>
        </w:rPr>
        <w:t>　　</w:t>
      </w:r>
      <w:r>
        <w:rPr>
          <w:rFonts w:hint="eastAsia" w:cs="仿宋_GB2312"/>
          <w:sz w:val="24"/>
        </w:rPr>
        <w:t>月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067"/>
        <w:gridCol w:w="1290"/>
        <w:gridCol w:w="1215"/>
        <w:gridCol w:w="1303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tblHeader/>
          <w:jc w:val="center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案件名称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案件类型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案值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（万元）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罚没金额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（万元）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是否移送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（是/否）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××（单位）查处××</w:t>
            </w:r>
          </w:p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（当事人）××（案由）案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...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...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...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...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...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</w:tbl>
    <w:p>
      <w:pPr>
        <w:tabs>
          <w:tab w:val="left" w:pos="790"/>
          <w:tab w:val="left" w:pos="948"/>
        </w:tabs>
        <w:overflowPunct w:val="0"/>
        <w:adjustRightInd w:val="0"/>
        <w:snapToGrid w:val="0"/>
        <w:spacing w:before="60"/>
        <w:rPr>
          <w:rFonts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说明：案件名称格式：××（单位）查处××（当事人）××（案由）案；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ind w:firstLine="692"/>
        <w:rPr>
          <w:rFonts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案件类型：参照附件3；案件状态：立案、处罚决定完成、结案。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jc w:val="left"/>
        <w:rPr>
          <w:rFonts w:ascii="黑体" w:eastAsia="黑体"/>
          <w:szCs w:val="30"/>
        </w:rPr>
      </w:pPr>
      <w:r>
        <w:rPr>
          <w:kern w:val="0"/>
        </w:rPr>
        <w:br w:type="page"/>
      </w:r>
      <w:r>
        <w:rPr>
          <w:rFonts w:hint="eastAsia" w:ascii="黑体" w:eastAsia="黑体"/>
          <w:szCs w:val="30"/>
        </w:rPr>
        <w:t>附件2</w:t>
      </w:r>
    </w:p>
    <w:p>
      <w:pPr>
        <w:tabs>
          <w:tab w:val="left" w:pos="790"/>
        </w:tabs>
        <w:overflowPunct w:val="0"/>
        <w:topLinePunct/>
        <w:adjustRightInd w:val="0"/>
        <w:snapToGrid w:val="0"/>
        <w:jc w:val="center"/>
        <w:outlineLvl w:val="0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典型案件报送信息表</w:t>
      </w:r>
    </w:p>
    <w:p>
      <w:pPr>
        <w:overflowPunct w:val="0"/>
        <w:adjustRightInd w:val="0"/>
        <w:snapToGrid w:val="0"/>
        <w:rPr>
          <w:sz w:val="24"/>
        </w:rPr>
      </w:pPr>
    </w:p>
    <w:p>
      <w:pPr>
        <w:overflowPunct w:val="0"/>
        <w:adjustRightInd w:val="0"/>
        <w:snapToGrid w:val="0"/>
        <w:spacing w:after="60"/>
        <w:rPr>
          <w:sz w:val="24"/>
        </w:rPr>
      </w:pPr>
      <w:r>
        <w:rPr>
          <w:rFonts w:hint="eastAsia"/>
          <w:sz w:val="24"/>
        </w:rPr>
        <w:t>填写时间：　　　　年　　月　　日　　　　办理状态：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 xml:space="preserve"> 正在办理中　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 xml:space="preserve"> 已办结</w:t>
      </w:r>
    </w:p>
    <w:tbl>
      <w:tblPr>
        <w:tblStyle w:val="10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1269"/>
        <w:gridCol w:w="1845"/>
        <w:gridCol w:w="1124"/>
        <w:gridCol w:w="780"/>
        <w:gridCol w:w="1305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案件类型</w:t>
            </w:r>
          </w:p>
        </w:tc>
        <w:tc>
          <w:tcPr>
            <w:tcW w:w="75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案件名称</w:t>
            </w:r>
          </w:p>
        </w:tc>
        <w:tc>
          <w:tcPr>
            <w:tcW w:w="75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涉案企业名称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ind w:left="-28" w:right="-28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pacing w:val="-6"/>
                <w:w w:val="95"/>
                <w:sz w:val="24"/>
                <w:szCs w:val="24"/>
              </w:rPr>
              <w:t>（人员姓名）</w:t>
            </w: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证照情况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pacing w:val="-6"/>
                <w:w w:val="95"/>
                <w:sz w:val="24"/>
                <w:szCs w:val="24"/>
              </w:rPr>
              <w:t>（许可信息）</w:t>
            </w:r>
          </w:p>
        </w:tc>
        <w:tc>
          <w:tcPr>
            <w:tcW w:w="25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立案时间</w:t>
            </w: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40"/>
              </w:tabs>
              <w:overflowPunct w:val="0"/>
              <w:topLinePunct/>
              <w:adjustRightInd w:val="0"/>
              <w:snapToGrid w:val="0"/>
              <w:spacing w:line="260" w:lineRule="exact"/>
              <w:ind w:right="796"/>
              <w:jc w:val="right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年   月   日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结案时间</w:t>
            </w:r>
          </w:p>
        </w:tc>
        <w:tc>
          <w:tcPr>
            <w:tcW w:w="25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right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涉案金额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right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（万元）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是否调解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是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否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赔偿数额</w:t>
            </w:r>
          </w:p>
        </w:tc>
        <w:tc>
          <w:tcPr>
            <w:tcW w:w="25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right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涉案环节</w:t>
            </w: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ind w:left="113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生产　</w:t>
            </w: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经营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w w:val="90"/>
                <w:sz w:val="24"/>
                <w:szCs w:val="24"/>
              </w:rPr>
            </w:pPr>
            <w:r>
              <w:rPr>
                <w:rFonts w:hint="eastAsia" w:cs="仿宋_GB2312"/>
                <w:w w:val="90"/>
                <w:sz w:val="24"/>
                <w:szCs w:val="24"/>
              </w:rPr>
              <w:t>本省以外涉案省（区、市）</w:t>
            </w:r>
          </w:p>
        </w:tc>
        <w:tc>
          <w:tcPr>
            <w:tcW w:w="25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是否处罚</w:t>
            </w: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ind w:left="113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是　　</w:t>
            </w: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否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作出处罚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时间</w:t>
            </w:r>
          </w:p>
        </w:tc>
        <w:tc>
          <w:tcPr>
            <w:tcW w:w="25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right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处罚决定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内容</w:t>
            </w:r>
          </w:p>
        </w:tc>
        <w:tc>
          <w:tcPr>
            <w:tcW w:w="373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罚款数额</w:t>
            </w:r>
          </w:p>
        </w:tc>
        <w:tc>
          <w:tcPr>
            <w:tcW w:w="25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right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373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没收违法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所得</w:t>
            </w:r>
          </w:p>
        </w:tc>
        <w:tc>
          <w:tcPr>
            <w:tcW w:w="25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right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其他处理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内容</w:t>
            </w:r>
          </w:p>
        </w:tc>
        <w:tc>
          <w:tcPr>
            <w:tcW w:w="75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ind w:left="113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列入经营异常名录　</w:t>
            </w: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列入严重违法失信名单　</w:t>
            </w: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另案处理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ind w:left="113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约谈　　　　　　　</w:t>
            </w: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案件移送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公安机关</w:t>
            </w: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ind w:left="113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是  </w:t>
            </w: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否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移送时间</w:t>
            </w:r>
          </w:p>
        </w:tc>
        <w:tc>
          <w:tcPr>
            <w:tcW w:w="25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right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通报情况</w:t>
            </w: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ind w:left="113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未通报　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ind w:left="113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通报部门：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通报时间</w:t>
            </w:r>
          </w:p>
        </w:tc>
        <w:tc>
          <w:tcPr>
            <w:tcW w:w="25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right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案情摘要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ind w:left="-28" w:right="-28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pacing w:val="-6"/>
                <w:sz w:val="24"/>
                <w:szCs w:val="24"/>
              </w:rPr>
              <w:t>（线索核查情况；调查经过、违法事实、处理结果；产生的效果和社会影响等）</w:t>
            </w:r>
          </w:p>
        </w:tc>
        <w:tc>
          <w:tcPr>
            <w:tcW w:w="7554" w:type="dxa"/>
            <w:gridSpan w:val="5"/>
            <w:tcBorders>
              <w:tl2br w:val="nil"/>
              <w:tr2bl w:val="nil"/>
            </w:tcBorders>
          </w:tcPr>
          <w:p>
            <w:pPr>
              <w:overflowPunct w:val="0"/>
              <w:topLinePunct/>
              <w:adjustRightInd w:val="0"/>
              <w:snapToGrid w:val="0"/>
              <w:spacing w:before="60" w:line="260" w:lineRule="exact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（可附页）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pacing w:val="-6"/>
                <w:sz w:val="24"/>
                <w:szCs w:val="24"/>
              </w:rPr>
            </w:pPr>
            <w:r>
              <w:rPr>
                <w:rFonts w:hint="eastAsia" w:cs="仿宋_GB2312"/>
                <w:spacing w:val="-6"/>
                <w:sz w:val="24"/>
                <w:szCs w:val="24"/>
              </w:rPr>
              <w:t>是否已公开</w:t>
            </w:r>
          </w:p>
        </w:tc>
        <w:tc>
          <w:tcPr>
            <w:tcW w:w="75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ind w:left="113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是　　</w:t>
            </w:r>
            <w:r>
              <w:rPr>
                <w:rFonts w:hint="eastAsia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cs="仿宋_GB2312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承办部门</w:t>
            </w: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联系人</w:t>
            </w:r>
          </w:p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（电话）</w:t>
            </w:r>
          </w:p>
        </w:tc>
        <w:tc>
          <w:tcPr>
            <w:tcW w:w="25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60" w:lineRule="exact"/>
              <w:jc w:val="center"/>
              <w:rPr>
                <w:rFonts w:cs="仿宋_GB2312"/>
                <w:sz w:val="24"/>
                <w:szCs w:val="24"/>
              </w:rPr>
            </w:pPr>
          </w:p>
        </w:tc>
      </w:tr>
    </w:tbl>
    <w:p>
      <w:pPr>
        <w:tabs>
          <w:tab w:val="left" w:pos="790"/>
          <w:tab w:val="left" w:pos="948"/>
        </w:tabs>
        <w:overflowPunct w:val="0"/>
        <w:adjustRightInd w:val="0"/>
        <w:snapToGrid w:val="0"/>
        <w:spacing w:before="60"/>
        <w:rPr>
          <w:rFonts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说明：案件名称按照××（单位）查处××（当事人）××（案由）案填写。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ascii="黑体" w:eastAsia="黑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jc w:val="left"/>
        <w:rPr>
          <w:rFonts w:ascii="黑体" w:eastAsia="黑体"/>
          <w:szCs w:val="30"/>
        </w:rPr>
      </w:pPr>
      <w:r>
        <w:rPr>
          <w:rFonts w:hint="eastAsia" w:ascii="黑体" w:eastAsia="黑体"/>
          <w:szCs w:val="30"/>
        </w:rPr>
        <w:t>附件3</w:t>
      </w:r>
    </w:p>
    <w:p>
      <w:pPr>
        <w:pStyle w:val="13"/>
        <w:adjustRightInd w:val="0"/>
        <w:snapToGrid w:val="0"/>
        <w:spacing w:after="0"/>
        <w:ind w:firstLine="0" w:firstLineChars="0"/>
        <w:rPr>
          <w:rFonts w:ascii="仿宋_GB2312" w:eastAsia="仿宋_GB2312"/>
          <w:sz w:val="21"/>
          <w:szCs w:val="21"/>
        </w:rPr>
      </w:pPr>
    </w:p>
    <w:p>
      <w:pPr>
        <w:tabs>
          <w:tab w:val="left" w:pos="790"/>
        </w:tabs>
        <w:overflowPunct w:val="0"/>
        <w:topLinePunct/>
        <w:adjustRightInd w:val="0"/>
        <w:snapToGrid w:val="0"/>
        <w:jc w:val="center"/>
        <w:outlineLvl w:val="0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2024民生领域案件查办“铁拳”行动</w:t>
      </w:r>
    </w:p>
    <w:p>
      <w:pPr>
        <w:tabs>
          <w:tab w:val="left" w:pos="790"/>
        </w:tabs>
        <w:overflowPunct w:val="0"/>
        <w:topLinePunct/>
        <w:adjustRightInd w:val="0"/>
        <w:snapToGrid w:val="0"/>
        <w:jc w:val="center"/>
        <w:outlineLvl w:val="0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重点案件查办情况表</w:t>
      </w:r>
    </w:p>
    <w:p>
      <w:pPr>
        <w:overflowPunct w:val="0"/>
        <w:adjustRightInd w:val="0"/>
        <w:snapToGrid w:val="0"/>
        <w:rPr>
          <w:rFonts w:cs="仿宋_GB2312"/>
          <w:sz w:val="24"/>
        </w:rPr>
      </w:pPr>
    </w:p>
    <w:p>
      <w:pPr>
        <w:overflowPunct w:val="0"/>
        <w:adjustRightInd w:val="0"/>
        <w:snapToGrid w:val="0"/>
        <w:spacing w:after="60"/>
        <w:rPr>
          <w:rFonts w:cs="仿宋_GB2312"/>
          <w:sz w:val="24"/>
        </w:rPr>
      </w:pPr>
      <w:r>
        <w:rPr>
          <w:rFonts w:hint="eastAsia" w:cs="仿宋_GB2312"/>
          <w:sz w:val="24"/>
        </w:rPr>
        <w:t>单位：</w:t>
      </w:r>
      <w:r>
        <w:rPr>
          <w:rFonts w:hint="eastAsia" w:cs="仿宋_GB2312"/>
          <w:sz w:val="24"/>
          <w:u w:val="single"/>
        </w:rPr>
        <w:t>　　　　　　　　　　　　</w:t>
      </w:r>
    </w:p>
    <w:p>
      <w:pPr>
        <w:overflowPunct w:val="0"/>
        <w:adjustRightInd w:val="0"/>
        <w:snapToGrid w:val="0"/>
        <w:spacing w:after="60"/>
        <w:rPr>
          <w:rFonts w:cs="仿宋_GB2312"/>
          <w:sz w:val="24"/>
        </w:rPr>
      </w:pPr>
      <w:r>
        <w:rPr>
          <w:rFonts w:hint="eastAsia" w:cs="仿宋_GB2312"/>
          <w:sz w:val="24"/>
        </w:rPr>
        <w:t>填报周期：</w:t>
      </w:r>
      <w:r>
        <w:rPr>
          <w:rFonts w:hint="eastAsia" w:cs="仿宋_GB2312"/>
          <w:sz w:val="24"/>
        </w:rPr>
        <w:sym w:font="Wingdings 2" w:char="00A3"/>
      </w:r>
      <w:r>
        <w:rPr>
          <w:rFonts w:hint="eastAsia" w:cs="仿宋_GB2312"/>
          <w:sz w:val="24"/>
        </w:rPr>
        <w:t xml:space="preserve"> 一季度　　</w:t>
      </w:r>
      <w:r>
        <w:rPr>
          <w:rFonts w:hint="eastAsia" w:cs="仿宋_GB2312"/>
          <w:sz w:val="24"/>
        </w:rPr>
        <w:sym w:font="Wingdings 2" w:char="00A3"/>
      </w:r>
      <w:r>
        <w:rPr>
          <w:rFonts w:hint="eastAsia" w:cs="仿宋_GB2312"/>
          <w:sz w:val="24"/>
        </w:rPr>
        <w:t xml:space="preserve"> 上半年　　</w:t>
      </w:r>
      <w:r>
        <w:rPr>
          <w:rFonts w:hint="eastAsia" w:cs="仿宋_GB2312"/>
          <w:sz w:val="24"/>
        </w:rPr>
        <w:sym w:font="Wingdings 2" w:char="00A3"/>
      </w:r>
      <w:r>
        <w:rPr>
          <w:rFonts w:hint="eastAsia" w:cs="仿宋_GB2312"/>
          <w:sz w:val="24"/>
        </w:rPr>
        <w:t xml:space="preserve"> 前三季度　　</w:t>
      </w:r>
      <w:r>
        <w:rPr>
          <w:rFonts w:hint="eastAsia" w:cs="仿宋_GB2312"/>
          <w:sz w:val="24"/>
        </w:rPr>
        <w:sym w:font="Wingdings 2" w:char="00A3"/>
      </w:r>
      <w:r>
        <w:rPr>
          <w:rFonts w:hint="eastAsia" w:cs="仿宋_GB2312"/>
          <w:sz w:val="24"/>
        </w:rPr>
        <w:t xml:space="preserve"> 全年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08" w:type="dxa"/>
          <w:bottom w:w="17" w:type="dxa"/>
          <w:right w:w="108" w:type="dxa"/>
        </w:tblCellMar>
      </w:tblPr>
      <w:tblGrid>
        <w:gridCol w:w="698"/>
        <w:gridCol w:w="2727"/>
        <w:gridCol w:w="1214"/>
        <w:gridCol w:w="1336"/>
        <w:gridCol w:w="2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案件类型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案件数量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（件）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移送公安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机关数量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（件）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28" w:right="-28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有影响力的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典型案件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燃气具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电动自行车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儿童玩具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食品中非法添加药品及其衍生物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违法生产使用小型锅炉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检验检测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7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认证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加油机计量作弊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利用不公平格式条款侵害消费者权益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商标侵权、伪造或冒用地理标志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11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价格欺诈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12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虚假违法广告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bCs/>
                <w:sz w:val="24"/>
              </w:rPr>
            </w:pPr>
            <w:r>
              <w:rPr>
                <w:rFonts w:hint="eastAsia" w:cs="仿宋_GB2312"/>
                <w:bCs/>
                <w:sz w:val="24"/>
              </w:rPr>
              <w:t>合　计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bCs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bCs/>
                <w:sz w:val="24"/>
              </w:rPr>
            </w:pPr>
          </w:p>
        </w:tc>
        <w:tc>
          <w:tcPr>
            <w:tcW w:w="2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bCs/>
                <w:sz w:val="24"/>
              </w:rPr>
            </w:pPr>
          </w:p>
        </w:tc>
      </w:tr>
    </w:tbl>
    <w:p>
      <w:pPr>
        <w:tabs>
          <w:tab w:val="left" w:pos="640"/>
        </w:tabs>
        <w:overflowPunct w:val="0"/>
        <w:adjustRightInd w:val="0"/>
        <w:snapToGrid w:val="0"/>
        <w:spacing w:before="60"/>
        <w:ind w:left="720" w:hanging="720"/>
        <w:rPr>
          <w:rFonts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说明：“有影响力的典型案件”请按照格式：××（单位）查处××（当事人）××（案由）案，填写案件名称。</w:t>
      </w:r>
    </w:p>
    <w:p>
      <w:pPr>
        <w:pStyle w:val="13"/>
        <w:ind w:firstLine="236"/>
        <w:rPr>
          <w:rFonts w:ascii="楷体_GB2312" w:hAnsi="楷体_GB2312" w:eastAsia="楷体_GB2312" w:cs="楷体_GB2312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pgNumType w:start="1"/>
          <w:cols w:space="720" w:num="1"/>
          <w:docGrid w:type="linesAndChars" w:linePitch="579" w:charSpace="-849"/>
        </w:sect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jc w:val="left"/>
        <w:rPr>
          <w:rFonts w:ascii="黑体" w:eastAsia="黑体"/>
          <w:szCs w:val="30"/>
        </w:rPr>
      </w:pPr>
      <w:r>
        <w:rPr>
          <w:rFonts w:hint="eastAsia" w:ascii="黑体" w:eastAsia="黑体"/>
          <w:szCs w:val="30"/>
        </w:rPr>
        <w:t>附件4</w:t>
      </w:r>
    </w:p>
    <w:p>
      <w:pPr>
        <w:tabs>
          <w:tab w:val="left" w:pos="790"/>
        </w:tabs>
        <w:overflowPunct w:val="0"/>
        <w:topLinePunct/>
        <w:adjustRightInd w:val="0"/>
        <w:snapToGrid w:val="0"/>
        <w:jc w:val="center"/>
        <w:outlineLvl w:val="0"/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2024民生领域案件查办“铁拳”行动案件统计表</w:t>
      </w:r>
    </w:p>
    <w:p>
      <w:pPr>
        <w:overflowPunct w:val="0"/>
        <w:adjustRightInd w:val="0"/>
        <w:snapToGrid w:val="0"/>
        <w:jc w:val="center"/>
        <w:rPr>
          <w:rFonts w:cs="仿宋_GB2312"/>
          <w:sz w:val="24"/>
          <w:szCs w:val="24"/>
        </w:rPr>
      </w:pPr>
    </w:p>
    <w:p>
      <w:pPr>
        <w:overflowPunct w:val="0"/>
        <w:adjustRightInd w:val="0"/>
        <w:snapToGrid w:val="0"/>
        <w:spacing w:after="60"/>
        <w:ind w:firstLine="240" w:firstLineChars="100"/>
        <w:rPr>
          <w:rFonts w:cs="仿宋_GB2312"/>
          <w:sz w:val="24"/>
          <w:szCs w:val="24"/>
        </w:rPr>
      </w:pPr>
      <w:r>
        <w:rPr>
          <w:rFonts w:hint="eastAsia" w:cs="仿宋_GB2312"/>
          <w:sz w:val="24"/>
          <w:szCs w:val="24"/>
        </w:rPr>
        <w:t>报送单位：　　　　　　　　　　　　　　　统计时间：　　　年   月   日至   月   日　　报送时间：　　　年   月   日</w:t>
      </w:r>
    </w:p>
    <w:tbl>
      <w:tblPr>
        <w:tblStyle w:val="10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108" w:type="dxa"/>
          <w:bottom w:w="17" w:type="dxa"/>
          <w:right w:w="108" w:type="dxa"/>
        </w:tblCellMar>
      </w:tblPr>
      <w:tblGrid>
        <w:gridCol w:w="1328"/>
        <w:gridCol w:w="3533"/>
        <w:gridCol w:w="1065"/>
        <w:gridCol w:w="1200"/>
        <w:gridCol w:w="1050"/>
        <w:gridCol w:w="1020"/>
        <w:gridCol w:w="1305"/>
        <w:gridCol w:w="145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类目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违法行为类型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出动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（人次）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检查企业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（家次）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立案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（件）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结案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（件）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涉案金额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（万元）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罚没款金额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（万元）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移送司法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案件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产品质量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燃气具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电动自行车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儿童玩具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儿童用品（不含玩具）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食品安全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非法添加药品及其衍生物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两超一非</w:t>
            </w:r>
          </w:p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（不含非法添加药品）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掺杂掺假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特种设备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违法生产使用小型锅炉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交付、使用未经检验或者检验不合格电梯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电梯维保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计量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加油站计量作弊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使用“作弊秤”、零售商品“缺斤少两”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检验检测认证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出具不实或虚假报告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出具虚假认证证书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知识产权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商标侵权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假冒专利、弄虚作假骗取专利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伪造和冒用地理标志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侵害消费者权益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价格欺诈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虚假违法广告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虚假宣传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不公平格式条款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民生领域垄断行为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垄断协议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不公平高价、限定交易、搭售、拒绝交易、附加不合理条件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行政性垄断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合计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</w:tbl>
    <w:p>
      <w:pPr>
        <w:tabs>
          <w:tab w:val="left" w:pos="790"/>
          <w:tab w:val="left" w:pos="948"/>
        </w:tabs>
        <w:overflowPunct w:val="0"/>
        <w:adjustRightInd w:val="0"/>
        <w:snapToGrid w:val="0"/>
        <w:spacing w:before="60"/>
        <w:ind w:firstLine="240" w:firstLineChars="100"/>
        <w:rPr>
          <w:rFonts w:ascii="楷体_GB2312" w:hAnsi="楷体_GB2312" w:eastAsia="楷体_GB2312" w:cs="楷体_GB2312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4"/>
        </w:rPr>
        <w:t>说明：数据请累计统计，并于每月20日前报送。</w:t>
      </w:r>
    </w:p>
    <w:p>
      <w:pPr>
        <w:pStyle w:val="2"/>
        <w:ind w:firstLine="640"/>
        <w:rPr>
          <w:lang w:eastAsia="zh-CN"/>
        </w:rPr>
        <w:sectPr>
          <w:pgSz w:w="16838" w:h="11906" w:orient="landscape"/>
          <w:pgMar w:top="1800" w:right="1440" w:bottom="1697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firstLine="0" w:firstLineChars="0"/>
        <w:rPr>
          <w:rFonts w:ascii="仿宋_GB2312"/>
          <w:lang w:eastAsia="zh-CN"/>
        </w:rPr>
      </w:pPr>
    </w:p>
    <w:p>
      <w:pPr>
        <w:pStyle w:val="5"/>
        <w:rPr>
          <w:rFonts w:hint="default"/>
        </w:r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</w:pPr>
    </w:p>
    <w:p>
      <w:pPr>
        <w:pStyle w:val="6"/>
        <w:numPr>
          <w:ilvl w:val="0"/>
          <w:numId w:val="0"/>
        </w:numPr>
        <w:adjustRightInd w:val="0"/>
        <w:snapToGrid w:val="0"/>
        <w:spacing w:line="288" w:lineRule="auto"/>
      </w:pPr>
    </w:p>
    <w:p>
      <w:pPr>
        <w:pStyle w:val="6"/>
        <w:numPr>
          <w:ilvl w:val="0"/>
          <w:numId w:val="0"/>
        </w:numPr>
        <w:adjustRightInd w:val="0"/>
        <w:snapToGrid w:val="0"/>
        <w:spacing w:line="264" w:lineRule="auto"/>
      </w:pPr>
    </w:p>
    <w:p>
      <w:pPr>
        <w:pStyle w:val="6"/>
        <w:numPr>
          <w:ilvl w:val="0"/>
          <w:numId w:val="0"/>
        </w:numPr>
        <w:adjustRightInd w:val="0"/>
        <w:snapToGrid w:val="0"/>
        <w:spacing w:line="264" w:lineRule="auto"/>
      </w:pPr>
    </w:p>
    <w:p>
      <w:pPr>
        <w:pStyle w:val="6"/>
        <w:numPr>
          <w:ilvl w:val="0"/>
          <w:numId w:val="0"/>
        </w:numPr>
        <w:adjustRightInd w:val="0"/>
        <w:snapToGrid w:val="0"/>
        <w:spacing w:line="312" w:lineRule="auto"/>
      </w:pPr>
    </w:p>
    <w:p>
      <w:pPr>
        <w:pStyle w:val="6"/>
        <w:numPr>
          <w:ilvl w:val="0"/>
          <w:numId w:val="0"/>
        </w:numPr>
        <w:adjustRightInd w:val="0"/>
        <w:snapToGrid w:val="0"/>
        <w:spacing w:line="312" w:lineRule="auto"/>
      </w:pPr>
    </w:p>
    <w:p>
      <w:pPr>
        <w:pStyle w:val="15"/>
        <w:adjustRightInd w:val="0"/>
        <w:snapToGrid w:val="0"/>
        <w:spacing w:before="0" w:beforeAutospacing="0" w:after="0" w:afterAutospacing="0" w:line="336" w:lineRule="auto"/>
        <w:ind w:firstLine="284" w:firstLineChars="100"/>
        <w:jc w:val="both"/>
        <w:rPr>
          <w:rFonts w:ascii="仿宋_GB2312"/>
          <w:spacing w:val="4"/>
        </w:rPr>
      </w:pPr>
      <w:r>
        <w:rPr>
          <w:rFonts w:ascii="仿宋_GB2312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-52070</wp:posOffset>
                </wp:positionV>
                <wp:extent cx="561594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-4.1pt;height:0pt;width:442.2pt;z-index:251662336;mso-width-relative:page;mso-height-relative:page;" filled="f" stroked="t" coordsize="21600,21600" o:gfxdata="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QZ3m/1QAAAAYB&#10;AAAPAAAAAAAAAAEAIAAAADgAAABkcnMvZG93bnJldi54bWxQSwECFAAUAAAACACHTuJAjVfSMs8B&#10;AACRAwAADgAAAAAAAAABACAAAAA6AQAAZHJzL2Uyb0RvYy54bWxQSwUGAAAAAAYABgBZAQAAewUA&#10;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61594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20.7pt;height:0pt;width:442.2pt;z-index:251663360;mso-width-relative:page;mso-height-relative:page;" filled="f" stroked="t" coordsize="21600,21600" o:gfxdata="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N6AYMdUAAAAG&#10;AQAADwAAAAAAAAABACAAAAA4AAAAZHJzL2Rvd25yZXYueG1sUEsBAhQAFAAAAAgAh07iQCvWTaPQ&#10;AQAAkQMAAA4AAAAAAAAAAQAgAAAAOg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spacing w:val="4"/>
          <w:sz w:val="28"/>
          <w:szCs w:val="28"/>
        </w:rPr>
        <w:t>上海市普陀区市场监督管理局办公室       2024年3月19日印发</w:t>
      </w:r>
    </w:p>
    <w:sectPr>
      <w:pgSz w:w="11906" w:h="16838"/>
      <w:pgMar w:top="2098" w:right="1474" w:bottom="1985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方正宋体S-超大字符集(SIP)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12" w:right="31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13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Ansi="宋体"/>
        <w:szCs w:val="30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margin">
                <wp:posOffset>-467995</wp:posOffset>
              </wp:positionH>
              <wp:positionV relativeFrom="margin">
                <wp:align>bottom</wp:align>
              </wp:positionV>
              <wp:extent cx="311150" cy="1082040"/>
              <wp:effectExtent l="0" t="0" r="0" b="0"/>
              <wp:wrapTight wrapText="bothSides">
                <wp:wrapPolygon>
                  <wp:start x="21592" y="-2"/>
                  <wp:lineTo x="0" y="0"/>
                  <wp:lineTo x="0" y="21600"/>
                  <wp:lineTo x="21592" y="21602"/>
                  <wp:lineTo x="8" y="21602"/>
                  <wp:lineTo x="21600" y="21600"/>
                  <wp:lineTo x="21600" y="0"/>
                  <wp:lineTo x="8" y="-2"/>
                  <wp:lineTo x="21592" y="-2"/>
                </wp:wrapPolygon>
              </wp:wrapTight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31115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eaVert" wrap="none" lIns="36000" tIns="36000" rIns="36000" bIns="36000" upright="true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-36.85pt;height:85.2pt;width:24.5pt;mso-position-horizontal-relative:margin;mso-position-vertical:bottom;mso-position-vertical-relative:margin;mso-wrap-distance-left:9pt;mso-wrap-distance-right:9pt;mso-wrap-style:none;z-index:-251658240;mso-width-relative:page;mso-height-relative:page;" filled="f" stroked="f" coordsize="21600,21600" wrapcoords="21592 -2 0 0 0 21600 21592 21602 8 21602 21600 21600 21600 0 8 -2 21592 -2" o:gfxdata="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jS4dSNYAAAAIAQAADwAAAAAAAAABACAAAAA4&#10;AAAAZHJzL2Rvd25yZXYueG1sUEsBAhQAFAAAAAgAh07iQPhVICe9AQAAZQMAAA4AAAAAAAAAAQAg&#10;AAAAOwEAAGRycy9lMm9Eb2MueG1sUEsFBgAAAAAGAAYAWQEAAGoFAAAAAA==&#10;">
              <v:fill on="f" focussize="0,0"/>
              <v:stroke on="f"/>
              <v:imagedata o:title=""/>
              <o:lock v:ext="edit" aspectratio="f"/>
              <v:textbox inset="1mm,1mm,1mm,1mm" style="layout-flow:vertical-ideographic;">
                <w:txbxContent>
                  <w:p/>
                </w:txbxContent>
              </v:textbox>
              <w10:wrap type="tight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  <w:lang w:val="zh-CN"/>
      </w:rPr>
      <w:t>—</w:t>
    </w:r>
    <w:r>
      <w:rPr>
        <w:rFonts w:ascii="宋体" w:hAnsi="宋体" w:eastAsia="宋体"/>
        <w:sz w:val="28"/>
        <w:szCs w:val="28"/>
        <w:lang w:val="zh-CN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  <w:lang w:val="zh-CN"/>
      </w:rPr>
      <w:t xml:space="preserve"> </w:t>
    </w:r>
    <w:r>
      <w:rPr>
        <w:rFonts w:hint="eastAsia" w:ascii="宋体" w:hAnsi="宋体" w:eastAsia="宋体"/>
        <w:sz w:val="28"/>
        <w:szCs w:val="28"/>
        <w:lang w:val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954E5D"/>
    <w:multiLevelType w:val="singleLevel"/>
    <w:tmpl w:val="ED954E5D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0E84AE"/>
    <w:rsid w:val="000307E2"/>
    <w:rsid w:val="00042F5D"/>
    <w:rsid w:val="00395098"/>
    <w:rsid w:val="004F2B76"/>
    <w:rsid w:val="00594ABD"/>
    <w:rsid w:val="00614244"/>
    <w:rsid w:val="006E6F9C"/>
    <w:rsid w:val="00B40B9A"/>
    <w:rsid w:val="00B62A6D"/>
    <w:rsid w:val="09FB04E3"/>
    <w:rsid w:val="12FE836A"/>
    <w:rsid w:val="15FB852C"/>
    <w:rsid w:val="16BE0ABC"/>
    <w:rsid w:val="1BF5A279"/>
    <w:rsid w:val="1DFB57AA"/>
    <w:rsid w:val="1EBDF51C"/>
    <w:rsid w:val="1F1EEEED"/>
    <w:rsid w:val="1F3239F8"/>
    <w:rsid w:val="1F71F592"/>
    <w:rsid w:val="1F8F9308"/>
    <w:rsid w:val="1FAD7C1A"/>
    <w:rsid w:val="1FB2C735"/>
    <w:rsid w:val="1FD978DA"/>
    <w:rsid w:val="1FEA01B4"/>
    <w:rsid w:val="1FF10AB4"/>
    <w:rsid w:val="1FFF9218"/>
    <w:rsid w:val="269B7775"/>
    <w:rsid w:val="29F74114"/>
    <w:rsid w:val="2BE77AD7"/>
    <w:rsid w:val="2BF322B9"/>
    <w:rsid w:val="2DBFF0E8"/>
    <w:rsid w:val="2E3ED7AF"/>
    <w:rsid w:val="2E753A2A"/>
    <w:rsid w:val="2ECFFE58"/>
    <w:rsid w:val="2EDD33A9"/>
    <w:rsid w:val="2EEDC742"/>
    <w:rsid w:val="2F6F34B1"/>
    <w:rsid w:val="2F9EA087"/>
    <w:rsid w:val="2FB3881B"/>
    <w:rsid w:val="2FB9DAB2"/>
    <w:rsid w:val="2FBF595F"/>
    <w:rsid w:val="2FF76355"/>
    <w:rsid w:val="2FF92571"/>
    <w:rsid w:val="2FFB5492"/>
    <w:rsid w:val="2FFBF5EF"/>
    <w:rsid w:val="31BFB6F9"/>
    <w:rsid w:val="33EE1D57"/>
    <w:rsid w:val="34BCEEEA"/>
    <w:rsid w:val="34FF2A56"/>
    <w:rsid w:val="361E60E2"/>
    <w:rsid w:val="36FF816C"/>
    <w:rsid w:val="36FFCF8A"/>
    <w:rsid w:val="37770BB3"/>
    <w:rsid w:val="3796E30A"/>
    <w:rsid w:val="394E3DDC"/>
    <w:rsid w:val="397E07E7"/>
    <w:rsid w:val="39EF1EC5"/>
    <w:rsid w:val="3ABE6EA6"/>
    <w:rsid w:val="3AEF242F"/>
    <w:rsid w:val="3AFF2E24"/>
    <w:rsid w:val="3B5CDE7A"/>
    <w:rsid w:val="3B9DA4B4"/>
    <w:rsid w:val="3BBB87D8"/>
    <w:rsid w:val="3BDD66A4"/>
    <w:rsid w:val="3BEF4C4E"/>
    <w:rsid w:val="3BEFAA90"/>
    <w:rsid w:val="3BFAAFE7"/>
    <w:rsid w:val="3CBCE0D7"/>
    <w:rsid w:val="3CFBA90A"/>
    <w:rsid w:val="3CFF07D1"/>
    <w:rsid w:val="3D6A97B6"/>
    <w:rsid w:val="3DACD4C4"/>
    <w:rsid w:val="3DBB9401"/>
    <w:rsid w:val="3DF73E46"/>
    <w:rsid w:val="3DFA0BB7"/>
    <w:rsid w:val="3DFE278D"/>
    <w:rsid w:val="3E6F0A2D"/>
    <w:rsid w:val="3EB7D327"/>
    <w:rsid w:val="3ECCEC69"/>
    <w:rsid w:val="3EF2ACCA"/>
    <w:rsid w:val="3EFEEA8E"/>
    <w:rsid w:val="3EFF1C7F"/>
    <w:rsid w:val="3F3E2F5E"/>
    <w:rsid w:val="3F7B82D4"/>
    <w:rsid w:val="3F7F0E28"/>
    <w:rsid w:val="3F7F257F"/>
    <w:rsid w:val="3F9EAD43"/>
    <w:rsid w:val="3FBF7B99"/>
    <w:rsid w:val="3FD35F32"/>
    <w:rsid w:val="3FDDC05E"/>
    <w:rsid w:val="3FEF4092"/>
    <w:rsid w:val="3FFA5768"/>
    <w:rsid w:val="3FFB95EC"/>
    <w:rsid w:val="3FFC62DA"/>
    <w:rsid w:val="3FFD381E"/>
    <w:rsid w:val="3FFDE97D"/>
    <w:rsid w:val="41BEC9F6"/>
    <w:rsid w:val="437E75C9"/>
    <w:rsid w:val="43EFC844"/>
    <w:rsid w:val="44FF4F40"/>
    <w:rsid w:val="494EB035"/>
    <w:rsid w:val="49EF97B9"/>
    <w:rsid w:val="4B529BDF"/>
    <w:rsid w:val="4BDAF276"/>
    <w:rsid w:val="4BFB2C7A"/>
    <w:rsid w:val="4BFF4BFA"/>
    <w:rsid w:val="4BFF6263"/>
    <w:rsid w:val="4D7A26AC"/>
    <w:rsid w:val="4DBFA711"/>
    <w:rsid w:val="4DE3D111"/>
    <w:rsid w:val="4E73A30E"/>
    <w:rsid w:val="4EA3BAA9"/>
    <w:rsid w:val="4EF73359"/>
    <w:rsid w:val="4F2759F7"/>
    <w:rsid w:val="4F410C0E"/>
    <w:rsid w:val="4FFEF0C1"/>
    <w:rsid w:val="517E333B"/>
    <w:rsid w:val="538FF05F"/>
    <w:rsid w:val="53935530"/>
    <w:rsid w:val="55EE8900"/>
    <w:rsid w:val="56DBE030"/>
    <w:rsid w:val="56FD8C96"/>
    <w:rsid w:val="57174A25"/>
    <w:rsid w:val="57377145"/>
    <w:rsid w:val="576F6184"/>
    <w:rsid w:val="57B78FB2"/>
    <w:rsid w:val="57FD1CB8"/>
    <w:rsid w:val="57FD5CC1"/>
    <w:rsid w:val="57FF27FA"/>
    <w:rsid w:val="57FF9010"/>
    <w:rsid w:val="596BB8E3"/>
    <w:rsid w:val="597887B4"/>
    <w:rsid w:val="59ED2BCE"/>
    <w:rsid w:val="59ED6CF1"/>
    <w:rsid w:val="5ABFA841"/>
    <w:rsid w:val="5AF4BC99"/>
    <w:rsid w:val="5B5C6FF5"/>
    <w:rsid w:val="5B5F4819"/>
    <w:rsid w:val="5B7B07F1"/>
    <w:rsid w:val="5B975FA2"/>
    <w:rsid w:val="5B9FE204"/>
    <w:rsid w:val="5BAFBAA0"/>
    <w:rsid w:val="5BBF32DF"/>
    <w:rsid w:val="5BEB17E8"/>
    <w:rsid w:val="5BF9B91A"/>
    <w:rsid w:val="5BFE90EF"/>
    <w:rsid w:val="5BFF7EF4"/>
    <w:rsid w:val="5CBF1060"/>
    <w:rsid w:val="5CF7534C"/>
    <w:rsid w:val="5DCF93E2"/>
    <w:rsid w:val="5DEDEC15"/>
    <w:rsid w:val="5DEFA7D3"/>
    <w:rsid w:val="5DFB7CF2"/>
    <w:rsid w:val="5EA56F21"/>
    <w:rsid w:val="5EA7A123"/>
    <w:rsid w:val="5EAFD72B"/>
    <w:rsid w:val="5EBECA5A"/>
    <w:rsid w:val="5EF799AF"/>
    <w:rsid w:val="5EFFD9B3"/>
    <w:rsid w:val="5F3986DA"/>
    <w:rsid w:val="5F4EA112"/>
    <w:rsid w:val="5F5C063D"/>
    <w:rsid w:val="5F5FF490"/>
    <w:rsid w:val="5F7D6CAD"/>
    <w:rsid w:val="5F7F1D9C"/>
    <w:rsid w:val="5FAE0701"/>
    <w:rsid w:val="5FB71A42"/>
    <w:rsid w:val="5FBD1DD5"/>
    <w:rsid w:val="5FC9CABD"/>
    <w:rsid w:val="5FDE8BCC"/>
    <w:rsid w:val="5FDE90BC"/>
    <w:rsid w:val="5FDFDBAF"/>
    <w:rsid w:val="5FE6C310"/>
    <w:rsid w:val="5FE9D7CA"/>
    <w:rsid w:val="5FEBA0D3"/>
    <w:rsid w:val="5FEBD023"/>
    <w:rsid w:val="5FFB483F"/>
    <w:rsid w:val="5FFE28D6"/>
    <w:rsid w:val="5FFEF101"/>
    <w:rsid w:val="5FFFB68A"/>
    <w:rsid w:val="62ED3979"/>
    <w:rsid w:val="633C1860"/>
    <w:rsid w:val="63D619D8"/>
    <w:rsid w:val="63EFED90"/>
    <w:rsid w:val="63FB6B05"/>
    <w:rsid w:val="64DFC4B9"/>
    <w:rsid w:val="65BEB998"/>
    <w:rsid w:val="65D70342"/>
    <w:rsid w:val="65F72B44"/>
    <w:rsid w:val="66BA8285"/>
    <w:rsid w:val="66F3CB67"/>
    <w:rsid w:val="678F27FA"/>
    <w:rsid w:val="67B978A5"/>
    <w:rsid w:val="67FB0282"/>
    <w:rsid w:val="67FD4CE4"/>
    <w:rsid w:val="68BFDB8B"/>
    <w:rsid w:val="69FFA202"/>
    <w:rsid w:val="6A3A1160"/>
    <w:rsid w:val="6AED5F9C"/>
    <w:rsid w:val="6AEFF60C"/>
    <w:rsid w:val="6AFA7142"/>
    <w:rsid w:val="6AFD4010"/>
    <w:rsid w:val="6B7F359E"/>
    <w:rsid w:val="6BAFB153"/>
    <w:rsid w:val="6BB8D3AE"/>
    <w:rsid w:val="6BC7288D"/>
    <w:rsid w:val="6BEDCCA2"/>
    <w:rsid w:val="6CFF4BAF"/>
    <w:rsid w:val="6CFF87FD"/>
    <w:rsid w:val="6D5FC798"/>
    <w:rsid w:val="6D9F4EB1"/>
    <w:rsid w:val="6DDDED5C"/>
    <w:rsid w:val="6DFF0EB7"/>
    <w:rsid w:val="6EB55115"/>
    <w:rsid w:val="6EDD855B"/>
    <w:rsid w:val="6EF19132"/>
    <w:rsid w:val="6F79C374"/>
    <w:rsid w:val="6F7B29DF"/>
    <w:rsid w:val="6F7FCACD"/>
    <w:rsid w:val="6F87C72E"/>
    <w:rsid w:val="6F8FA169"/>
    <w:rsid w:val="6F9F65A1"/>
    <w:rsid w:val="6FB9706E"/>
    <w:rsid w:val="6FBD8C1E"/>
    <w:rsid w:val="6FBF8205"/>
    <w:rsid w:val="6FBF8BCF"/>
    <w:rsid w:val="6FD75738"/>
    <w:rsid w:val="6FDDB866"/>
    <w:rsid w:val="6FEF4AEE"/>
    <w:rsid w:val="6FEF9612"/>
    <w:rsid w:val="6FF378A2"/>
    <w:rsid w:val="6FFB6F9D"/>
    <w:rsid w:val="6FFBA959"/>
    <w:rsid w:val="6FFD8A63"/>
    <w:rsid w:val="6FFDA7BF"/>
    <w:rsid w:val="6FFF8774"/>
    <w:rsid w:val="71EA466F"/>
    <w:rsid w:val="71FDD30D"/>
    <w:rsid w:val="727ACC78"/>
    <w:rsid w:val="73C5C1C6"/>
    <w:rsid w:val="754F3509"/>
    <w:rsid w:val="759A3C73"/>
    <w:rsid w:val="75BA7F40"/>
    <w:rsid w:val="75BC6E36"/>
    <w:rsid w:val="75FD931F"/>
    <w:rsid w:val="75FF27CE"/>
    <w:rsid w:val="75FF8D2E"/>
    <w:rsid w:val="763B83AD"/>
    <w:rsid w:val="768E2940"/>
    <w:rsid w:val="76B78F62"/>
    <w:rsid w:val="76CFE10B"/>
    <w:rsid w:val="76D743D2"/>
    <w:rsid w:val="76F9FDA4"/>
    <w:rsid w:val="7760F881"/>
    <w:rsid w:val="77742322"/>
    <w:rsid w:val="77A72809"/>
    <w:rsid w:val="77AEA5FB"/>
    <w:rsid w:val="77BD9783"/>
    <w:rsid w:val="77C134AF"/>
    <w:rsid w:val="77D2827C"/>
    <w:rsid w:val="77DFF6B2"/>
    <w:rsid w:val="77E7170E"/>
    <w:rsid w:val="77ED44B7"/>
    <w:rsid w:val="77FB396D"/>
    <w:rsid w:val="77FDA974"/>
    <w:rsid w:val="77FF78F7"/>
    <w:rsid w:val="77FFEAEB"/>
    <w:rsid w:val="78BEEEC4"/>
    <w:rsid w:val="78FEC8D2"/>
    <w:rsid w:val="794D1BDE"/>
    <w:rsid w:val="7967E759"/>
    <w:rsid w:val="79EF9BF1"/>
    <w:rsid w:val="79FB731A"/>
    <w:rsid w:val="79FDC775"/>
    <w:rsid w:val="79FE6DF5"/>
    <w:rsid w:val="7AB7F545"/>
    <w:rsid w:val="7AFF1328"/>
    <w:rsid w:val="7AFF640E"/>
    <w:rsid w:val="7B3C6C24"/>
    <w:rsid w:val="7B7986DC"/>
    <w:rsid w:val="7B9F3018"/>
    <w:rsid w:val="7BA7A045"/>
    <w:rsid w:val="7BB6A236"/>
    <w:rsid w:val="7BBBAA20"/>
    <w:rsid w:val="7BBD3E42"/>
    <w:rsid w:val="7BCFAC36"/>
    <w:rsid w:val="7BDAAED6"/>
    <w:rsid w:val="7BDF1D1F"/>
    <w:rsid w:val="7BDF3492"/>
    <w:rsid w:val="7BDFC682"/>
    <w:rsid w:val="7BE77F0D"/>
    <w:rsid w:val="7BEDE1EB"/>
    <w:rsid w:val="7BEF1583"/>
    <w:rsid w:val="7BF0D7F0"/>
    <w:rsid w:val="7BF2A831"/>
    <w:rsid w:val="7BFB2CCF"/>
    <w:rsid w:val="7BFEA3A5"/>
    <w:rsid w:val="7BFED4B3"/>
    <w:rsid w:val="7BFF1D96"/>
    <w:rsid w:val="7CDD786C"/>
    <w:rsid w:val="7CFA3438"/>
    <w:rsid w:val="7D11D09B"/>
    <w:rsid w:val="7D6716D1"/>
    <w:rsid w:val="7D7B751F"/>
    <w:rsid w:val="7D7D2E59"/>
    <w:rsid w:val="7D7FA168"/>
    <w:rsid w:val="7DA61461"/>
    <w:rsid w:val="7DB3D9F4"/>
    <w:rsid w:val="7DB6AD53"/>
    <w:rsid w:val="7DBF6A6B"/>
    <w:rsid w:val="7DE53FF1"/>
    <w:rsid w:val="7DECE7D5"/>
    <w:rsid w:val="7DF725C6"/>
    <w:rsid w:val="7DF76BC9"/>
    <w:rsid w:val="7DF9D985"/>
    <w:rsid w:val="7DFBB51E"/>
    <w:rsid w:val="7DFE4CF0"/>
    <w:rsid w:val="7DFE790F"/>
    <w:rsid w:val="7DFF8675"/>
    <w:rsid w:val="7E77AEB6"/>
    <w:rsid w:val="7E7FAF9F"/>
    <w:rsid w:val="7E7FDAF0"/>
    <w:rsid w:val="7E972CD7"/>
    <w:rsid w:val="7EAF4168"/>
    <w:rsid w:val="7EF2233C"/>
    <w:rsid w:val="7EF5B159"/>
    <w:rsid w:val="7EFAFC3F"/>
    <w:rsid w:val="7EFB861B"/>
    <w:rsid w:val="7EFBCA2C"/>
    <w:rsid w:val="7EFF135A"/>
    <w:rsid w:val="7EFF411A"/>
    <w:rsid w:val="7EFF91DF"/>
    <w:rsid w:val="7F0A37EC"/>
    <w:rsid w:val="7F35F275"/>
    <w:rsid w:val="7F3719DA"/>
    <w:rsid w:val="7F5FA9B3"/>
    <w:rsid w:val="7F6D2FF4"/>
    <w:rsid w:val="7F6D3185"/>
    <w:rsid w:val="7F6F5AD3"/>
    <w:rsid w:val="7F6FD9E3"/>
    <w:rsid w:val="7F757D88"/>
    <w:rsid w:val="7F77358A"/>
    <w:rsid w:val="7F7D89E6"/>
    <w:rsid w:val="7F7DA30D"/>
    <w:rsid w:val="7F7F7EFE"/>
    <w:rsid w:val="7F8FBC9A"/>
    <w:rsid w:val="7FAF0B9B"/>
    <w:rsid w:val="7FAF91ED"/>
    <w:rsid w:val="7FB49280"/>
    <w:rsid w:val="7FB713B1"/>
    <w:rsid w:val="7FB7EF6F"/>
    <w:rsid w:val="7FBCE5B7"/>
    <w:rsid w:val="7FBD633C"/>
    <w:rsid w:val="7FBE6298"/>
    <w:rsid w:val="7FBF1043"/>
    <w:rsid w:val="7FBF1FE4"/>
    <w:rsid w:val="7FBF220A"/>
    <w:rsid w:val="7FBFABFE"/>
    <w:rsid w:val="7FBFE82E"/>
    <w:rsid w:val="7FCF933F"/>
    <w:rsid w:val="7FD5EA6C"/>
    <w:rsid w:val="7FDB1563"/>
    <w:rsid w:val="7FDB1FBB"/>
    <w:rsid w:val="7FDB5033"/>
    <w:rsid w:val="7FDE6236"/>
    <w:rsid w:val="7FDF107C"/>
    <w:rsid w:val="7FDFE3A0"/>
    <w:rsid w:val="7FDFFED9"/>
    <w:rsid w:val="7FEB9FDB"/>
    <w:rsid w:val="7FEDFFFD"/>
    <w:rsid w:val="7FEE1B49"/>
    <w:rsid w:val="7FF18B7F"/>
    <w:rsid w:val="7FF2AFFE"/>
    <w:rsid w:val="7FF4070B"/>
    <w:rsid w:val="7FF5F2D5"/>
    <w:rsid w:val="7FF673EA"/>
    <w:rsid w:val="7FF6DFCB"/>
    <w:rsid w:val="7FF74B47"/>
    <w:rsid w:val="7FF76BCD"/>
    <w:rsid w:val="7FF77622"/>
    <w:rsid w:val="7FFA2201"/>
    <w:rsid w:val="7FFB336E"/>
    <w:rsid w:val="7FFD59DE"/>
    <w:rsid w:val="7FFE1D6D"/>
    <w:rsid w:val="7FFF5617"/>
    <w:rsid w:val="7FFF8D9E"/>
    <w:rsid w:val="7FFFAD7F"/>
    <w:rsid w:val="7FFFB8F0"/>
    <w:rsid w:val="7FFFC77B"/>
    <w:rsid w:val="7FFFFE05"/>
    <w:rsid w:val="87352741"/>
    <w:rsid w:val="87E93BBD"/>
    <w:rsid w:val="897B55B4"/>
    <w:rsid w:val="897BE135"/>
    <w:rsid w:val="8B1D450D"/>
    <w:rsid w:val="8BBF5A4A"/>
    <w:rsid w:val="8BF1C0A5"/>
    <w:rsid w:val="8F958771"/>
    <w:rsid w:val="93F3D4DC"/>
    <w:rsid w:val="95BE66EA"/>
    <w:rsid w:val="95FBBE91"/>
    <w:rsid w:val="997FA000"/>
    <w:rsid w:val="9D95B83D"/>
    <w:rsid w:val="9DB7FC6C"/>
    <w:rsid w:val="9F5D454E"/>
    <w:rsid w:val="9F73FCA0"/>
    <w:rsid w:val="9FB03A1C"/>
    <w:rsid w:val="9FB738CB"/>
    <w:rsid w:val="9FB94732"/>
    <w:rsid w:val="9FBF8A3C"/>
    <w:rsid w:val="9FC17286"/>
    <w:rsid w:val="9FF7B7F5"/>
    <w:rsid w:val="9FFDD136"/>
    <w:rsid w:val="9FFE51FB"/>
    <w:rsid w:val="A57E7F62"/>
    <w:rsid w:val="A7BD6DA4"/>
    <w:rsid w:val="AB7F9CE6"/>
    <w:rsid w:val="ABFF4359"/>
    <w:rsid w:val="ADFF3E59"/>
    <w:rsid w:val="AEEC7AFC"/>
    <w:rsid w:val="AF3FF6D1"/>
    <w:rsid w:val="AFB11038"/>
    <w:rsid w:val="AFB99261"/>
    <w:rsid w:val="AFBE6852"/>
    <w:rsid w:val="AFCD7945"/>
    <w:rsid w:val="AFCF2600"/>
    <w:rsid w:val="AFDADBA5"/>
    <w:rsid w:val="AFDF3EA9"/>
    <w:rsid w:val="B0EF4867"/>
    <w:rsid w:val="B5EF7539"/>
    <w:rsid w:val="B5EFFD42"/>
    <w:rsid w:val="B5FC0935"/>
    <w:rsid w:val="B6DDDFBD"/>
    <w:rsid w:val="B6E28199"/>
    <w:rsid w:val="B6EFA5F3"/>
    <w:rsid w:val="B757743D"/>
    <w:rsid w:val="B77C88AC"/>
    <w:rsid w:val="B78D0338"/>
    <w:rsid w:val="B7CE206D"/>
    <w:rsid w:val="B892E326"/>
    <w:rsid w:val="B897380F"/>
    <w:rsid w:val="B93FE431"/>
    <w:rsid w:val="BA7F1F78"/>
    <w:rsid w:val="BA8696DA"/>
    <w:rsid w:val="BAB3D7D6"/>
    <w:rsid w:val="BAB4BB16"/>
    <w:rsid w:val="BAB778A2"/>
    <w:rsid w:val="BAF5D40B"/>
    <w:rsid w:val="BB315A0B"/>
    <w:rsid w:val="BBF7D9F6"/>
    <w:rsid w:val="BCEE3D8A"/>
    <w:rsid w:val="BD67AA07"/>
    <w:rsid w:val="BDAB1AFB"/>
    <w:rsid w:val="BDBEE591"/>
    <w:rsid w:val="BDDA9915"/>
    <w:rsid w:val="BDDE4EDB"/>
    <w:rsid w:val="BDEB0C23"/>
    <w:rsid w:val="BDF3C000"/>
    <w:rsid w:val="BDF7F2F7"/>
    <w:rsid w:val="BDFD06BD"/>
    <w:rsid w:val="BDFFAA58"/>
    <w:rsid w:val="BE7D4B3F"/>
    <w:rsid w:val="BED26254"/>
    <w:rsid w:val="BEF78C5F"/>
    <w:rsid w:val="BEFF3257"/>
    <w:rsid w:val="BF1F0BF6"/>
    <w:rsid w:val="BF5E9052"/>
    <w:rsid w:val="BF6C7875"/>
    <w:rsid w:val="BF9D77D6"/>
    <w:rsid w:val="BFAA9EC2"/>
    <w:rsid w:val="BFB7575C"/>
    <w:rsid w:val="BFBBD342"/>
    <w:rsid w:val="BFBFAF8F"/>
    <w:rsid w:val="BFCDA141"/>
    <w:rsid w:val="BFDF7184"/>
    <w:rsid w:val="BFF7CECB"/>
    <w:rsid w:val="BFFD33A7"/>
    <w:rsid w:val="BFFD671D"/>
    <w:rsid w:val="BFFDE20D"/>
    <w:rsid w:val="BFFF76CF"/>
    <w:rsid w:val="BFFFDE79"/>
    <w:rsid w:val="C1E7191D"/>
    <w:rsid w:val="C5FDAD08"/>
    <w:rsid w:val="C7FF7696"/>
    <w:rsid w:val="C95CB071"/>
    <w:rsid w:val="CABF4EBC"/>
    <w:rsid w:val="CBFA6F84"/>
    <w:rsid w:val="CBFF33DB"/>
    <w:rsid w:val="CE7BCE2E"/>
    <w:rsid w:val="CF6E9799"/>
    <w:rsid w:val="CF7ABA67"/>
    <w:rsid w:val="CFD81CDC"/>
    <w:rsid w:val="CFFB60FD"/>
    <w:rsid w:val="CFFFB6E3"/>
    <w:rsid w:val="D3FF0B65"/>
    <w:rsid w:val="D4FDA96F"/>
    <w:rsid w:val="D4FF5750"/>
    <w:rsid w:val="D5DC48E1"/>
    <w:rsid w:val="D72FCAD3"/>
    <w:rsid w:val="D7F5F05E"/>
    <w:rsid w:val="D7F7B040"/>
    <w:rsid w:val="D7FD3B10"/>
    <w:rsid w:val="D86D5D34"/>
    <w:rsid w:val="D8AF90B0"/>
    <w:rsid w:val="D94B3881"/>
    <w:rsid w:val="D957D305"/>
    <w:rsid w:val="D9BD935F"/>
    <w:rsid w:val="DA370971"/>
    <w:rsid w:val="DA8F23C9"/>
    <w:rsid w:val="DBFD8A8A"/>
    <w:rsid w:val="DC337170"/>
    <w:rsid w:val="DDEB08F3"/>
    <w:rsid w:val="DDEB5B5F"/>
    <w:rsid w:val="DDF70ACD"/>
    <w:rsid w:val="DDF73873"/>
    <w:rsid w:val="DDFF5E07"/>
    <w:rsid w:val="DEAFF6D5"/>
    <w:rsid w:val="DEE7A8C5"/>
    <w:rsid w:val="DEEB960B"/>
    <w:rsid w:val="DEEF1FE7"/>
    <w:rsid w:val="DEFFC443"/>
    <w:rsid w:val="DEFFEABD"/>
    <w:rsid w:val="DF0E84AE"/>
    <w:rsid w:val="DF32DF13"/>
    <w:rsid w:val="DF5F3045"/>
    <w:rsid w:val="DFAFDD55"/>
    <w:rsid w:val="DFB51E9C"/>
    <w:rsid w:val="DFB6B7FB"/>
    <w:rsid w:val="DFB7907D"/>
    <w:rsid w:val="DFBF427E"/>
    <w:rsid w:val="DFCB9645"/>
    <w:rsid w:val="DFCD9CC8"/>
    <w:rsid w:val="DFD72DDD"/>
    <w:rsid w:val="DFE6C8D7"/>
    <w:rsid w:val="DFEE210F"/>
    <w:rsid w:val="DFEF1A9D"/>
    <w:rsid w:val="DFF6C721"/>
    <w:rsid w:val="DFF70B9A"/>
    <w:rsid w:val="DFF77664"/>
    <w:rsid w:val="DFFB006D"/>
    <w:rsid w:val="DFFF1399"/>
    <w:rsid w:val="DFFF55FC"/>
    <w:rsid w:val="DFFFA807"/>
    <w:rsid w:val="DFFFAA00"/>
    <w:rsid w:val="DFFFB818"/>
    <w:rsid w:val="E15E4A4C"/>
    <w:rsid w:val="E3EFA4AD"/>
    <w:rsid w:val="E5B3D3CC"/>
    <w:rsid w:val="E5EFBA5C"/>
    <w:rsid w:val="E5FFF611"/>
    <w:rsid w:val="E6773AE8"/>
    <w:rsid w:val="E6BFFB1F"/>
    <w:rsid w:val="E7E1D4D7"/>
    <w:rsid w:val="E7EF76F3"/>
    <w:rsid w:val="E98F0940"/>
    <w:rsid w:val="E9C68FFF"/>
    <w:rsid w:val="EA5F9EFA"/>
    <w:rsid w:val="EBAD843E"/>
    <w:rsid w:val="EBD6F8DE"/>
    <w:rsid w:val="EBDEDDCB"/>
    <w:rsid w:val="EBDF76F2"/>
    <w:rsid w:val="EBE75817"/>
    <w:rsid w:val="EBFDBE98"/>
    <w:rsid w:val="EBFF0767"/>
    <w:rsid w:val="ED6FBB7D"/>
    <w:rsid w:val="ED7A4B42"/>
    <w:rsid w:val="ED9F92CE"/>
    <w:rsid w:val="EDEF8DFA"/>
    <w:rsid w:val="EDFF2C0B"/>
    <w:rsid w:val="EDFFEE9C"/>
    <w:rsid w:val="EE3DF97D"/>
    <w:rsid w:val="EEBF2A50"/>
    <w:rsid w:val="EEFBDFD6"/>
    <w:rsid w:val="EEFE0AF0"/>
    <w:rsid w:val="EEFF43FD"/>
    <w:rsid w:val="EEFFA150"/>
    <w:rsid w:val="EF0FC097"/>
    <w:rsid w:val="EF3EF7BA"/>
    <w:rsid w:val="EF4ED9AD"/>
    <w:rsid w:val="EF5508F2"/>
    <w:rsid w:val="EF552D00"/>
    <w:rsid w:val="EF77D8E5"/>
    <w:rsid w:val="EF7BDDE0"/>
    <w:rsid w:val="EF899961"/>
    <w:rsid w:val="EFBFA83D"/>
    <w:rsid w:val="EFBFD1CA"/>
    <w:rsid w:val="EFDF5A44"/>
    <w:rsid w:val="EFF9F273"/>
    <w:rsid w:val="EFFACF3D"/>
    <w:rsid w:val="EFFB2244"/>
    <w:rsid w:val="EFFDA7AD"/>
    <w:rsid w:val="F0DF8EEC"/>
    <w:rsid w:val="F18ECC2E"/>
    <w:rsid w:val="F1B437BD"/>
    <w:rsid w:val="F1BF733E"/>
    <w:rsid w:val="F2E7F6DA"/>
    <w:rsid w:val="F2F735B5"/>
    <w:rsid w:val="F37DCEE0"/>
    <w:rsid w:val="F38D9451"/>
    <w:rsid w:val="F54A107A"/>
    <w:rsid w:val="F5773E44"/>
    <w:rsid w:val="F57F1818"/>
    <w:rsid w:val="F57F55E5"/>
    <w:rsid w:val="F5D36B3F"/>
    <w:rsid w:val="F5F60482"/>
    <w:rsid w:val="F5FF2FC6"/>
    <w:rsid w:val="F67D8B52"/>
    <w:rsid w:val="F6F3ACE6"/>
    <w:rsid w:val="F7375F69"/>
    <w:rsid w:val="F76BF33C"/>
    <w:rsid w:val="F76E28CC"/>
    <w:rsid w:val="F76FB0CE"/>
    <w:rsid w:val="F77CFB76"/>
    <w:rsid w:val="F77F0402"/>
    <w:rsid w:val="F7A17B7A"/>
    <w:rsid w:val="F7B63ADE"/>
    <w:rsid w:val="F7B96DD0"/>
    <w:rsid w:val="F7DFA173"/>
    <w:rsid w:val="F7E28B59"/>
    <w:rsid w:val="F7E76A41"/>
    <w:rsid w:val="F7F6F11A"/>
    <w:rsid w:val="F7FAE2A3"/>
    <w:rsid w:val="F7FD601D"/>
    <w:rsid w:val="F7FE6C07"/>
    <w:rsid w:val="F7FFB075"/>
    <w:rsid w:val="F86FDAAF"/>
    <w:rsid w:val="F8EDA9A0"/>
    <w:rsid w:val="F8EF6213"/>
    <w:rsid w:val="F95F8053"/>
    <w:rsid w:val="F9674D48"/>
    <w:rsid w:val="F9753FFA"/>
    <w:rsid w:val="F9AE9D23"/>
    <w:rsid w:val="F9EDEBDB"/>
    <w:rsid w:val="F9EF35FD"/>
    <w:rsid w:val="F9EF7FCB"/>
    <w:rsid w:val="F9F2A824"/>
    <w:rsid w:val="F9F754CF"/>
    <w:rsid w:val="FA2DF81A"/>
    <w:rsid w:val="FA4FD64F"/>
    <w:rsid w:val="FAB5D490"/>
    <w:rsid w:val="FAB9465B"/>
    <w:rsid w:val="FAEF7A0E"/>
    <w:rsid w:val="FAFB901D"/>
    <w:rsid w:val="FB2C9D42"/>
    <w:rsid w:val="FB5FCDEB"/>
    <w:rsid w:val="FB75D642"/>
    <w:rsid w:val="FB77D304"/>
    <w:rsid w:val="FB7DA9C9"/>
    <w:rsid w:val="FB7FD264"/>
    <w:rsid w:val="FB9F7EED"/>
    <w:rsid w:val="FBABC519"/>
    <w:rsid w:val="FBAEC291"/>
    <w:rsid w:val="FBBB5341"/>
    <w:rsid w:val="FBBF23DA"/>
    <w:rsid w:val="FBD95C7A"/>
    <w:rsid w:val="FBDB542E"/>
    <w:rsid w:val="FBDF0363"/>
    <w:rsid w:val="FBEDBA69"/>
    <w:rsid w:val="FBEE7D75"/>
    <w:rsid w:val="FBEF9217"/>
    <w:rsid w:val="FBFBF561"/>
    <w:rsid w:val="FBFD744F"/>
    <w:rsid w:val="FBFDFDA7"/>
    <w:rsid w:val="FBFF354A"/>
    <w:rsid w:val="FBFF4C3C"/>
    <w:rsid w:val="FC7EBFD5"/>
    <w:rsid w:val="FD1DF81A"/>
    <w:rsid w:val="FD555E5F"/>
    <w:rsid w:val="FD5EFB0F"/>
    <w:rsid w:val="FD5F0100"/>
    <w:rsid w:val="FD77DA19"/>
    <w:rsid w:val="FD7ED8B3"/>
    <w:rsid w:val="FD8E25B2"/>
    <w:rsid w:val="FDCDC72E"/>
    <w:rsid w:val="FDDD1AF4"/>
    <w:rsid w:val="FDDD9ECA"/>
    <w:rsid w:val="FDDFE73F"/>
    <w:rsid w:val="FDEB7E33"/>
    <w:rsid w:val="FDEEE34A"/>
    <w:rsid w:val="FDEFDD07"/>
    <w:rsid w:val="FDFE53E1"/>
    <w:rsid w:val="FDFFAA8C"/>
    <w:rsid w:val="FE2E193F"/>
    <w:rsid w:val="FE715F4B"/>
    <w:rsid w:val="FE7C77E6"/>
    <w:rsid w:val="FE7DF41A"/>
    <w:rsid w:val="FEA67A4E"/>
    <w:rsid w:val="FEAB4BE3"/>
    <w:rsid w:val="FEBD5A98"/>
    <w:rsid w:val="FECE54B2"/>
    <w:rsid w:val="FED9CBD3"/>
    <w:rsid w:val="FEDBAA7D"/>
    <w:rsid w:val="FEDFB21A"/>
    <w:rsid w:val="FEF2BEEA"/>
    <w:rsid w:val="FEF36BFA"/>
    <w:rsid w:val="FEF7E16E"/>
    <w:rsid w:val="FEF9E698"/>
    <w:rsid w:val="FEFBC215"/>
    <w:rsid w:val="FEFD3082"/>
    <w:rsid w:val="FEFD5D7A"/>
    <w:rsid w:val="FEFF76A2"/>
    <w:rsid w:val="FEFFB90B"/>
    <w:rsid w:val="FEFFCCDC"/>
    <w:rsid w:val="FF3A21F5"/>
    <w:rsid w:val="FF5B8F99"/>
    <w:rsid w:val="FF6E1A0C"/>
    <w:rsid w:val="FF778819"/>
    <w:rsid w:val="FF77D27F"/>
    <w:rsid w:val="FF79F9F5"/>
    <w:rsid w:val="FF7B7803"/>
    <w:rsid w:val="FF7BB9BB"/>
    <w:rsid w:val="FF7EF46F"/>
    <w:rsid w:val="FFA1C134"/>
    <w:rsid w:val="FFA6BDBC"/>
    <w:rsid w:val="FFA71706"/>
    <w:rsid w:val="FFAC60B6"/>
    <w:rsid w:val="FFAE48F6"/>
    <w:rsid w:val="FFBF7CC8"/>
    <w:rsid w:val="FFBFC4AD"/>
    <w:rsid w:val="FFC2057F"/>
    <w:rsid w:val="FFC730D0"/>
    <w:rsid w:val="FFCA70B9"/>
    <w:rsid w:val="FFD8E361"/>
    <w:rsid w:val="FFD9CC9C"/>
    <w:rsid w:val="FFDB5146"/>
    <w:rsid w:val="FFDEB5DF"/>
    <w:rsid w:val="FFDF941F"/>
    <w:rsid w:val="FFEACF63"/>
    <w:rsid w:val="FFEBA6E6"/>
    <w:rsid w:val="FFEF92C1"/>
    <w:rsid w:val="FFEFEF8E"/>
    <w:rsid w:val="FFEFFD86"/>
    <w:rsid w:val="FFF11252"/>
    <w:rsid w:val="FFF3F4E1"/>
    <w:rsid w:val="FFF55B1B"/>
    <w:rsid w:val="FFF666AE"/>
    <w:rsid w:val="FFF729DC"/>
    <w:rsid w:val="FFFA2B2F"/>
    <w:rsid w:val="FFFB0E0F"/>
    <w:rsid w:val="FFFB2D35"/>
    <w:rsid w:val="FFFB2E84"/>
    <w:rsid w:val="FFFB81E5"/>
    <w:rsid w:val="FFFF2579"/>
    <w:rsid w:val="FFFF39D0"/>
    <w:rsid w:val="FFFF3C8A"/>
    <w:rsid w:val="FFFFB69D"/>
    <w:rsid w:val="FFFFDD88"/>
    <w:rsid w:val="FFFFE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200" w:firstLineChars="200"/>
    </w:pPr>
    <w:rPr>
      <w:sz w:val="32"/>
    </w:rPr>
  </w:style>
  <w:style w:type="paragraph" w:styleId="3">
    <w:name w:val="Body Text Indent"/>
    <w:basedOn w:val="1"/>
    <w:next w:val="4"/>
    <w:qFormat/>
    <w:uiPriority w:val="0"/>
    <w:pPr>
      <w:suppressAutoHyphens/>
      <w:ind w:firstLine="420"/>
      <w:jc w:val="left"/>
    </w:pPr>
    <w:rPr>
      <w:rFonts w:ascii="宋体" w:hAnsi="宋体"/>
      <w:color w:val="000000"/>
      <w:kern w:val="0"/>
      <w:sz w:val="24"/>
      <w:lang w:eastAsia="ar-SA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  <w:rPr>
      <w:rFonts w:hAnsi="Times New Roman"/>
    </w:rPr>
  </w:style>
  <w:style w:type="paragraph" w:styleId="5">
    <w:name w:val="Plain Text"/>
    <w:basedOn w:val="1"/>
    <w:next w:val="6"/>
    <w:qFormat/>
    <w:uiPriority w:val="0"/>
    <w:rPr>
      <w:rFonts w:hint="eastAsia" w:ascii="宋体" w:hAnsi="Courier New"/>
      <w:kern w:val="0"/>
      <w:sz w:val="20"/>
      <w:szCs w:val="21"/>
    </w:rPr>
  </w:style>
  <w:style w:type="paragraph" w:styleId="6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样式1"/>
    <w:basedOn w:val="1"/>
    <w:qFormat/>
    <w:uiPriority w:val="0"/>
    <w:rPr>
      <w:rFonts w:ascii="Calibri" w:hAnsi="Calibri"/>
    </w:rPr>
  </w:style>
  <w:style w:type="paragraph" w:customStyle="1" w:styleId="13">
    <w:name w:val="正文首行缩进1"/>
    <w:basedOn w:val="4"/>
    <w:qFormat/>
    <w:uiPriority w:val="0"/>
    <w:pPr>
      <w:ind w:firstLine="420" w:firstLineChars="100"/>
    </w:pPr>
    <w:rPr>
      <w:rFonts w:ascii="Calibri" w:hAnsi="Calibri" w:eastAsia="宋体"/>
    </w:rPr>
  </w:style>
  <w:style w:type="character" w:customStyle="1" w:styleId="14">
    <w:name w:val="批注框文本 Char"/>
    <w:basedOn w:val="11"/>
    <w:link w:val="7"/>
    <w:qFormat/>
    <w:uiPriority w:val="0"/>
    <w:rPr>
      <w:rFonts w:ascii="仿宋_GB2312" w:hAnsi="仿宋_GB2312" w:eastAsia="仿宋_GB2312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spacing w:before="100" w:beforeAutospacing="1" w:after="100" w:afterAutospacing="1" w:line="360" w:lineRule="auto"/>
      <w:ind w:firstLine="420" w:firstLineChars="200"/>
      <w:jc w:val="lef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sgs</Company>
  <Pages>14</Pages>
  <Words>4422</Words>
  <Characters>873</Characters>
  <Lines>7</Lines>
  <Paragraphs>10</Paragraphs>
  <TotalTime>5</TotalTime>
  <ScaleCrop>false</ScaleCrop>
  <LinksUpToDate>false</LinksUpToDate>
  <CharactersWithSpaces>5285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2024-03-11T20:00:00Z</dcterms:created>
  <dc:creator>lenovo</dc:creator>
  <cp:lastModifiedBy>thtf</cp:lastModifiedBy>
  <cp:lastPrinted>2024-03-11T08:03:00Z</cp:lastPrinted>
  <dcterms:modified xsi:type="dcterms:W3CDTF">2024-04-12T09:57:18Z</dcterms:modified>
  <dc:title>上海市普陀区市场监督管理局文件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