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b/>
          <w:sz w:val="36"/>
          <w:szCs w:val="36"/>
          <w:lang w:val="en-US" w:eastAsia="zh-CN"/>
        </w:rPr>
      </w:pPr>
      <w:r>
        <w:rPr>
          <w:rFonts w:hint="eastAsia" w:ascii="宋体" w:hAnsi="宋体" w:eastAsia="宋体"/>
          <w:b/>
          <w:sz w:val="36"/>
          <w:szCs w:val="36"/>
          <w:lang w:val="en-US" w:eastAsia="zh-CN"/>
        </w:rPr>
        <w:t>普陀区民政局2020年工作要点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rPr>
          <w:rFonts w:hint="eastAsia" w:ascii="宋体" w:hAnsi="宋体" w:eastAsia="宋体"/>
          <w:b/>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w:t>
      </w:r>
      <w:r>
        <w:rPr>
          <w:rFonts w:hint="eastAsia" w:ascii="仿宋" w:hAnsi="仿宋" w:eastAsia="仿宋" w:cs="仿宋"/>
          <w:color w:val="auto"/>
          <w:sz w:val="32"/>
          <w:szCs w:val="32"/>
        </w:rPr>
        <w:t>是</w:t>
      </w:r>
      <w:r>
        <w:rPr>
          <w:rFonts w:hint="eastAsia" w:ascii="仿宋" w:hAnsi="仿宋" w:eastAsia="仿宋" w:cs="仿宋"/>
          <w:color w:val="auto"/>
          <w:sz w:val="32"/>
          <w:szCs w:val="32"/>
          <w:lang w:eastAsia="zh-CN"/>
        </w:rPr>
        <w:t>全面建成小康社会和</w:t>
      </w:r>
      <w:r>
        <w:rPr>
          <w:rFonts w:hint="eastAsia" w:ascii="仿宋" w:hAnsi="仿宋" w:eastAsia="仿宋" w:cs="仿宋"/>
          <w:color w:val="auto"/>
          <w:sz w:val="32"/>
          <w:szCs w:val="32"/>
        </w:rPr>
        <w:t>“十三五”规划</w:t>
      </w:r>
      <w:r>
        <w:rPr>
          <w:rFonts w:hint="eastAsia" w:ascii="仿宋" w:hAnsi="仿宋" w:eastAsia="仿宋" w:cs="仿宋"/>
          <w:color w:val="auto"/>
          <w:sz w:val="32"/>
          <w:szCs w:val="32"/>
          <w:lang w:eastAsia="zh-CN"/>
        </w:rPr>
        <w:t>收官之年，也是我区基本建成“科创驱动转型实践区、宜居宜创宜业生态区”之年</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区民政局工作将以习近平新时代中国特色社会主义思想为指引，认真落实党的十九大及十九届二中、三中、四中全会精神和习近平总书记考察上海期间重要讲话要求，按照区委、区政府</w:t>
      </w:r>
      <w:r>
        <w:rPr>
          <w:rFonts w:hint="eastAsia" w:ascii="仿宋" w:hAnsi="仿宋" w:eastAsia="仿宋" w:cs="仿宋"/>
          <w:color w:val="auto"/>
          <w:sz w:val="32"/>
          <w:szCs w:val="32"/>
          <w:lang w:eastAsia="zh-CN"/>
        </w:rPr>
        <w:t>工作安排，坚持稳中求进工作总基调，全力践行“民政为民、民政爱民”理念</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全面完成“十三五”规划目标和指标，</w:t>
      </w:r>
      <w:r>
        <w:rPr>
          <w:rFonts w:hint="eastAsia" w:ascii="仿宋" w:hAnsi="仿宋" w:eastAsia="仿宋" w:cs="仿宋"/>
          <w:color w:val="auto"/>
          <w:sz w:val="32"/>
          <w:szCs w:val="32"/>
          <w:lang w:val="en-US" w:eastAsia="zh-CN"/>
        </w:rPr>
        <w:t>为普陀“两区”建设贡献力量。</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全力做好新冠肺炎疫情防控工作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加大社会救助力度。</w:t>
      </w:r>
      <w:r>
        <w:rPr>
          <w:rFonts w:hint="eastAsia" w:ascii="仿宋" w:hAnsi="仿宋" w:eastAsia="仿宋" w:cs="仿宋"/>
          <w:color w:val="auto"/>
          <w:sz w:val="32"/>
          <w:szCs w:val="32"/>
          <w:lang w:val="en-US" w:eastAsia="zh-CN"/>
        </w:rPr>
        <w:t>执行低保在册人员回访、报告制度，对疫情期间的新申请审批机制、已纳保核查期限等开设绿色通道。做好社会救助和保障标准与物价上涨挂钩联动机制，加强分散供养特困人员照料服务，加大临时救助力度。开展“三合一”行动，跨前一步，加强流浪乞讨精神病人、“两无人员”和生活无着的流浪乞讨人员的救助收治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开展社区疫情联防联控。</w:t>
      </w:r>
      <w:r>
        <w:rPr>
          <w:rFonts w:hint="eastAsia" w:ascii="楷体" w:hAnsi="楷体" w:eastAsia="楷体" w:cs="楷体"/>
          <w:b/>
          <w:bCs/>
          <w:color w:val="auto"/>
          <w:sz w:val="32"/>
          <w:szCs w:val="32"/>
          <w:lang w:val="en-US" w:eastAsia="zh-CN"/>
        </w:rPr>
        <w:t>做好本区社区口罩供给工作，</w:t>
      </w:r>
      <w:r>
        <w:rPr>
          <w:rFonts w:hint="eastAsia" w:ascii="仿宋_GB2312" w:hAnsi="仿宋_GB2312" w:eastAsia="仿宋_GB2312" w:cs="仿宋_GB2312"/>
          <w:color w:val="auto"/>
          <w:sz w:val="32"/>
          <w:szCs w:val="32"/>
          <w:lang w:val="en-US" w:eastAsia="zh-CN"/>
        </w:rPr>
        <w:t>通过“居委预约登记+指定药店购买”，依托线上线下模式，实现“居民社区基层网”和“药店商务零售网”两网有效融合，确保本区社区口罩预约工作平稳有序。</w:t>
      </w:r>
      <w:r>
        <w:rPr>
          <w:rFonts w:hint="eastAsia" w:ascii="楷体" w:hAnsi="楷体" w:eastAsia="楷体" w:cs="楷体"/>
          <w:b/>
          <w:bCs/>
          <w:color w:val="auto"/>
          <w:sz w:val="32"/>
          <w:szCs w:val="32"/>
          <w:lang w:val="en-US" w:eastAsia="zh-CN"/>
        </w:rPr>
        <w:t>牵头落实重点国家入境人员隔离观察和社区分流安置工作，</w:t>
      </w:r>
      <w:r>
        <w:rPr>
          <w:rFonts w:hint="eastAsia" w:ascii="仿宋_GB2312" w:hAnsi="仿宋_GB2312" w:eastAsia="仿宋_GB2312" w:cs="仿宋_GB2312"/>
          <w:b w:val="0"/>
          <w:bCs w:val="0"/>
          <w:color w:val="auto"/>
          <w:sz w:val="32"/>
          <w:szCs w:val="32"/>
          <w:lang w:val="en-US" w:eastAsia="zh-CN"/>
        </w:rPr>
        <w:t>抽调机关、街镇干部24小时不间断值守，</w:t>
      </w:r>
      <w:r>
        <w:rPr>
          <w:rFonts w:hint="eastAsia" w:ascii="仿宋_GB2312" w:hAnsi="仿宋_GB2312" w:eastAsia="仿宋_GB2312" w:cs="仿宋_GB2312"/>
          <w:color w:val="auto"/>
          <w:sz w:val="32"/>
          <w:szCs w:val="32"/>
          <w:lang w:val="en-US" w:eastAsia="zh-CN"/>
        </w:rPr>
        <w:t>制定完善机场、口岸、火车站、车站、医院等各渠道接运流程，确保旅客从落地入境到社区隔离，全流程无缝衔接、闭环管理，严防境外疫情输入。</w:t>
      </w:r>
      <w:r>
        <w:rPr>
          <w:rFonts w:hint="eastAsia" w:ascii="仿宋_GB2312" w:hAnsi="仿宋_GB2312" w:cs="仿宋_GB2312"/>
          <w:color w:val="auto"/>
          <w:sz w:val="32"/>
          <w:szCs w:val="32"/>
          <w:lang w:val="en-US" w:eastAsia="zh-CN"/>
        </w:rPr>
        <w:t>总结</w:t>
      </w:r>
      <w:r>
        <w:rPr>
          <w:rFonts w:hint="eastAsia" w:ascii="仿宋_GB2312" w:hAnsi="仿宋_GB2312" w:eastAsia="仿宋_GB2312" w:cs="仿宋_GB2312"/>
          <w:color w:val="auto"/>
          <w:sz w:val="32"/>
          <w:szCs w:val="32"/>
          <w:lang w:val="en-US" w:eastAsia="zh-CN"/>
        </w:rPr>
        <w:t>社区疫情防控经验，进一步发挥基础工作信息在社区治理中的积极作用。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加强服务机构疫情防控。</w:t>
      </w:r>
      <w:r>
        <w:rPr>
          <w:rFonts w:hint="eastAsia" w:ascii="楷体" w:hAnsi="楷体" w:eastAsia="楷体" w:cs="楷体"/>
          <w:b/>
          <w:bCs/>
          <w:color w:val="auto"/>
          <w:sz w:val="32"/>
          <w:szCs w:val="32"/>
          <w:lang w:val="en-US" w:eastAsia="zh-CN"/>
        </w:rPr>
        <w:t>严格落实养老服务领域防控工作，</w:t>
      </w:r>
      <w:r>
        <w:rPr>
          <w:rFonts w:hint="eastAsia" w:ascii="仿宋" w:hAnsi="仿宋" w:eastAsia="仿宋" w:cs="仿宋"/>
          <w:color w:val="auto"/>
          <w:sz w:val="32"/>
          <w:szCs w:val="32"/>
          <w:lang w:val="en-US" w:eastAsia="zh-CN"/>
        </w:rPr>
        <w:t>做好全区养老机构封闭式管理工作；落实疫情防控与高龄特困老年人刚需服务“双保障”工作，推进高龄、独居、重度失能老人居家照护服务，保障老年人助餐刚性需求，提供高龄独居老人关心问候活动。</w:t>
      </w:r>
      <w:r>
        <w:rPr>
          <w:rFonts w:hint="eastAsia" w:ascii="楷体" w:hAnsi="楷体" w:eastAsia="楷体" w:cs="楷体"/>
          <w:b/>
          <w:bCs/>
          <w:color w:val="auto"/>
          <w:sz w:val="32"/>
          <w:szCs w:val="32"/>
          <w:lang w:val="en-US" w:eastAsia="zh-CN"/>
        </w:rPr>
        <w:t>加强儿童福利领域防控保护，</w:t>
      </w:r>
      <w:r>
        <w:rPr>
          <w:rFonts w:hint="eastAsia" w:ascii="仿宋" w:hAnsi="仿宋" w:eastAsia="仿宋" w:cs="仿宋"/>
          <w:color w:val="auto"/>
          <w:sz w:val="32"/>
          <w:szCs w:val="32"/>
          <w:lang w:val="en-US" w:eastAsia="zh-CN"/>
        </w:rPr>
        <w:t>严格落实儿童福利机构封闭式管理；关注社区特殊困难儿童，建立疫情期间每日联系和长效关爱机制。</w:t>
      </w:r>
      <w:r>
        <w:rPr>
          <w:rFonts w:hint="eastAsia" w:ascii="楷体" w:hAnsi="楷体" w:eastAsia="楷体" w:cs="楷体"/>
          <w:b/>
          <w:bCs/>
          <w:color w:val="auto"/>
          <w:sz w:val="32"/>
          <w:szCs w:val="32"/>
          <w:lang w:val="en-US" w:eastAsia="zh-CN"/>
        </w:rPr>
        <w:t>提升民生服务窗口防控力度，</w:t>
      </w:r>
      <w:r>
        <w:rPr>
          <w:rFonts w:hint="eastAsia" w:ascii="仿宋" w:hAnsi="仿宋" w:eastAsia="仿宋" w:cs="仿宋"/>
          <w:color w:val="auto"/>
          <w:sz w:val="32"/>
          <w:szCs w:val="32"/>
          <w:lang w:val="en-US" w:eastAsia="zh-CN"/>
        </w:rPr>
        <w:t>进一步加强各街镇社区事务受理服务中心、婚姻收养登记中心等窗口单位的场所、设施及人员的疫情防控举措，确保各类服务对象健康安全。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持续</w:t>
      </w:r>
      <w:r>
        <w:rPr>
          <w:rFonts w:hint="eastAsia" w:ascii="黑体" w:hAnsi="黑体" w:eastAsia="黑体" w:cs="黑体"/>
          <w:color w:val="auto"/>
          <w:sz w:val="32"/>
          <w:szCs w:val="32"/>
        </w:rPr>
        <w:t>推进社会救助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不断完善社会救助体系，</w:t>
      </w:r>
      <w:r>
        <w:rPr>
          <w:rFonts w:hint="eastAsia" w:ascii="仿宋" w:hAnsi="仿宋" w:eastAsia="仿宋" w:cs="仿宋"/>
          <w:color w:val="auto"/>
          <w:sz w:val="32"/>
          <w:szCs w:val="32"/>
          <w:lang w:eastAsia="zh-CN"/>
        </w:rPr>
        <w:t>持续推进社会救助标准化、规范化、精准化，</w:t>
      </w:r>
      <w:r>
        <w:rPr>
          <w:rFonts w:hint="eastAsia" w:ascii="仿宋" w:hAnsi="仿宋" w:eastAsia="仿宋" w:cs="仿宋"/>
          <w:color w:val="auto"/>
          <w:sz w:val="32"/>
          <w:szCs w:val="32"/>
          <w:lang w:val="en-US" w:eastAsia="zh-CN"/>
        </w:rPr>
        <w:t>进一步夯实民政托底保障网。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1、落实社会救助各项政策。</w:t>
      </w:r>
      <w:r>
        <w:rPr>
          <w:rFonts w:hint="eastAsia" w:ascii="仿宋" w:hAnsi="仿宋" w:eastAsia="仿宋" w:cs="仿宋"/>
          <w:color w:val="auto"/>
          <w:sz w:val="32"/>
          <w:szCs w:val="32"/>
          <w:lang w:val="en-US" w:eastAsia="zh-CN"/>
        </w:rPr>
        <w:t>进一步规范社会救助工作，认真贯彻执行《上海市社会救助条例》，加强救助政策培训，开展社会救助政策落实及专项资金使用管理检查，不断提高基层救助工作服务质量和水平。做好安徽下放回沪困难人员帮扶工作，切实保障困难群众的基本生活，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2、做好困难群众帮困工作。</w:t>
      </w:r>
      <w:r>
        <w:rPr>
          <w:rFonts w:hint="eastAsia" w:ascii="仿宋" w:hAnsi="仿宋" w:eastAsia="仿宋" w:cs="仿宋"/>
          <w:color w:val="auto"/>
          <w:sz w:val="32"/>
          <w:szCs w:val="32"/>
          <w:lang w:val="en-US" w:eastAsia="zh-CN"/>
        </w:rPr>
        <w:t>依托区社会救助工作联席会议，周密部署元旦春节帮困送温暖工作，会同各部门共同做好社会救助工作。严格落实民政部关于低保专项治理工作要求，认真部署、扎实推进，做到应保尽保，不错保漏保，杜绝关系保、人情保、维稳保，切实发挥低保在脱贫攻坚战中的兜底保障作用。探索社会救助综合评估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3、推进社会救助风险防范。</w:t>
      </w:r>
      <w:r>
        <w:rPr>
          <w:rFonts w:hint="eastAsia" w:ascii="仿宋" w:hAnsi="仿宋" w:eastAsia="仿宋" w:cs="仿宋"/>
          <w:color w:val="auto"/>
          <w:sz w:val="32"/>
          <w:szCs w:val="32"/>
          <w:lang w:val="en-US" w:eastAsia="zh-CN"/>
        </w:rPr>
        <w:t>深入开展廉政风险排查，防范各种廉政风险漏洞。加强社会救助工作宣传，让困难群众了解救助政策。深化近亲属备案工作。加快推进民政救助资金内控平台建设，在开展模拟运行基础上，进一步做好数据比对和正式运行前的相关准备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4、规范居民经济状况核对。</w:t>
      </w:r>
      <w:r>
        <w:rPr>
          <w:rFonts w:hint="eastAsia" w:ascii="仿宋" w:hAnsi="仿宋" w:eastAsia="仿宋" w:cs="仿宋"/>
          <w:color w:val="auto"/>
          <w:sz w:val="32"/>
          <w:szCs w:val="32"/>
          <w:lang w:val="en-US" w:eastAsia="zh-CN"/>
        </w:rPr>
        <w:t>加强新增核对项目的培训，确保新增业务有序开展。及时处理核对系统内各项业务和各个环节，防止工作时限超期。建立街镇核对员互查机制。做好系统用户名维护、清理。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b/>
          <w:bCs/>
          <w:color w:val="auto"/>
          <w:sz w:val="32"/>
          <w:szCs w:val="32"/>
          <w:lang w:val="en-US" w:eastAsia="zh-CN"/>
        </w:rPr>
        <w:t>5、加强生活无着流浪乞讨人员救助管理。</w:t>
      </w:r>
      <w:r>
        <w:rPr>
          <w:rFonts w:hint="eastAsia" w:ascii="仿宋" w:hAnsi="仿宋" w:eastAsia="仿宋" w:cs="仿宋"/>
          <w:color w:val="auto"/>
          <w:sz w:val="32"/>
          <w:szCs w:val="32"/>
          <w:lang w:val="en-US" w:eastAsia="zh-CN"/>
        </w:rPr>
        <w:t>开展救助管理服务质量大提升行动，在政策宣传、街面巡查、站内照料、寻亲服务等关键环节上建机制、提质量、优服务。启动气象等级响应机制，加大巡查，加强劝导，确保流浪乞讨人员安全度夏过冬。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6、动员社会力量广泛参与。</w:t>
      </w:r>
      <w:r>
        <w:rPr>
          <w:rFonts w:hint="eastAsia" w:ascii="仿宋" w:hAnsi="仿宋" w:eastAsia="仿宋" w:cs="仿宋"/>
          <w:color w:val="auto"/>
          <w:sz w:val="32"/>
          <w:szCs w:val="32"/>
          <w:lang w:val="en-US" w:eastAsia="zh-CN"/>
        </w:rPr>
        <w:t>开展市民综合帮扶，做好“爱心助老”“爱心传递”“关爱进社区、普瑞送光明”“仁人帮困”及仲弘教育帮困等项目。开展“春节万户助困”慈善帮困和市、区领导走访慰问工作。加强慈善超市标准化建设，落实“慈善四送”，推进“慈善四进”。开展9.5“中华慈善日”活动。做好日常物资接收、物资帮困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lang w:val="en-US" w:eastAsia="zh-CN"/>
        </w:rPr>
        <w:t>三、进一步完善社会福利体系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围绕高质量发展战略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进一步提升</w:t>
      </w:r>
      <w:r>
        <w:rPr>
          <w:rFonts w:hint="eastAsia" w:ascii="仿宋" w:hAnsi="仿宋" w:eastAsia="仿宋" w:cs="仿宋"/>
          <w:color w:val="auto"/>
          <w:sz w:val="32"/>
          <w:szCs w:val="32"/>
          <w:lang w:eastAsia="zh-CN"/>
        </w:rPr>
        <w:t>社会福利</w:t>
      </w:r>
      <w:r>
        <w:rPr>
          <w:rFonts w:hint="eastAsia" w:ascii="仿宋" w:hAnsi="仿宋" w:eastAsia="仿宋" w:cs="仿宋"/>
          <w:color w:val="auto"/>
          <w:sz w:val="32"/>
          <w:szCs w:val="32"/>
        </w:rPr>
        <w:t>质量和水平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建立</w:t>
      </w:r>
      <w:r>
        <w:rPr>
          <w:rFonts w:hint="eastAsia" w:ascii="仿宋" w:hAnsi="仿宋" w:eastAsia="仿宋" w:cs="仿宋"/>
          <w:color w:val="auto"/>
          <w:sz w:val="32"/>
          <w:szCs w:val="32"/>
          <w:lang w:eastAsia="zh-CN"/>
        </w:rPr>
        <w:t>健全</w:t>
      </w:r>
      <w:r>
        <w:rPr>
          <w:rFonts w:hint="eastAsia" w:ascii="仿宋" w:hAnsi="仿宋" w:eastAsia="仿宋" w:cs="仿宋"/>
          <w:color w:val="auto"/>
          <w:sz w:val="32"/>
          <w:szCs w:val="32"/>
        </w:rPr>
        <w:t>养老、扶幼、助残为一体的社会福利体系</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（一）着力推进养老服务</w:t>
      </w:r>
    </w:p>
    <w:p>
      <w:pPr>
        <w:keepNext w:val="0"/>
        <w:keepLines w:val="0"/>
        <w:pageBreakBefore w:val="0"/>
        <w:widowControl w:val="0"/>
        <w:numPr>
          <w:ilvl w:val="0"/>
          <w:numId w:val="0"/>
        </w:numPr>
        <w:tabs>
          <w:tab w:val="left" w:pos="3150"/>
        </w:tabs>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1、加强养老服务供给。</w:t>
      </w:r>
      <w:r>
        <w:rPr>
          <w:rFonts w:hint="eastAsia" w:ascii="楷体" w:hAnsi="楷体" w:eastAsia="楷体" w:cs="楷体"/>
          <w:b/>
          <w:bCs/>
          <w:color w:val="auto"/>
          <w:sz w:val="32"/>
          <w:szCs w:val="32"/>
          <w:lang w:val="en-US" w:eastAsia="zh-CN"/>
        </w:rPr>
        <w:t>推进养老床位建设，</w:t>
      </w:r>
      <w:r>
        <w:rPr>
          <w:rFonts w:hint="eastAsia" w:ascii="仿宋_GB2312" w:hAnsi="仿宋_GB2312" w:eastAsia="仿宋_GB2312" w:cs="仿宋_GB2312"/>
          <w:b w:val="0"/>
          <w:bCs w:val="0"/>
          <w:color w:val="auto"/>
          <w:sz w:val="32"/>
          <w:szCs w:val="32"/>
          <w:lang w:val="en-US" w:eastAsia="zh-CN"/>
        </w:rPr>
        <w:t>新增养老床位752张，确保“十三五”9155张床位建设目标任务全面完成。</w:t>
      </w:r>
      <w:r>
        <w:rPr>
          <w:rFonts w:hint="eastAsia" w:ascii="楷体" w:hAnsi="楷体" w:eastAsia="楷体" w:cs="楷体"/>
          <w:b/>
          <w:bCs/>
          <w:color w:val="auto"/>
          <w:sz w:val="32"/>
          <w:szCs w:val="32"/>
          <w:lang w:val="en-US" w:eastAsia="zh-CN"/>
        </w:rPr>
        <w:t>试点认知障碍照护服务，</w:t>
      </w:r>
      <w:r>
        <w:rPr>
          <w:rFonts w:hint="eastAsia" w:ascii="仿宋" w:hAnsi="仿宋" w:eastAsia="仿宋" w:cs="仿宋"/>
          <w:b w:val="0"/>
          <w:bCs w:val="0"/>
          <w:color w:val="auto"/>
          <w:sz w:val="32"/>
          <w:szCs w:val="32"/>
          <w:lang w:val="en-US" w:eastAsia="zh-CN"/>
        </w:rPr>
        <w:t>改建</w:t>
      </w:r>
      <w:r>
        <w:rPr>
          <w:rFonts w:hint="eastAsia" w:ascii="仿宋" w:hAnsi="仿宋" w:eastAsia="仿宋" w:cs="仿宋"/>
          <w:color w:val="auto"/>
          <w:kern w:val="0"/>
          <w:sz w:val="32"/>
          <w:szCs w:val="32"/>
          <w:highlight w:val="none"/>
          <w:lang w:val="en-US" w:eastAsia="zh-CN" w:bidi="ar"/>
        </w:rPr>
        <w:t>认知障碍照护</w:t>
      </w:r>
      <w:r>
        <w:rPr>
          <w:rFonts w:hint="eastAsia" w:ascii="仿宋" w:hAnsi="仿宋" w:eastAsia="仿宋" w:cs="仿宋"/>
          <w:b w:val="0"/>
          <w:bCs w:val="0"/>
          <w:color w:val="auto"/>
          <w:sz w:val="32"/>
          <w:szCs w:val="32"/>
          <w:lang w:val="en-US" w:eastAsia="zh-CN"/>
        </w:rPr>
        <w:t>床位100张；在3个街道开展认知障碍友好社区试点</w:t>
      </w:r>
      <w:r>
        <w:rPr>
          <w:rFonts w:hint="eastAsia" w:ascii="仿宋_GB2312" w:hAnsi="仿宋_GB2312" w:eastAsia="仿宋_GB2312" w:cs="仿宋_GB2312"/>
          <w:b w:val="0"/>
          <w:bCs w:val="0"/>
          <w:color w:val="auto"/>
          <w:sz w:val="32"/>
          <w:szCs w:val="32"/>
          <w:lang w:val="en-US" w:eastAsia="zh-CN"/>
        </w:rPr>
        <w:t>。</w:t>
      </w:r>
      <w:r>
        <w:rPr>
          <w:rFonts w:hint="eastAsia" w:ascii="楷体" w:hAnsi="楷体" w:eastAsia="楷体" w:cs="楷体"/>
          <w:b/>
          <w:bCs/>
          <w:color w:val="auto"/>
          <w:sz w:val="32"/>
          <w:szCs w:val="32"/>
          <w:lang w:val="en-US" w:eastAsia="zh-CN"/>
        </w:rPr>
        <w:t>夯实“15分钟养老服务圈”，</w:t>
      </w:r>
      <w:r>
        <w:rPr>
          <w:rFonts w:hint="eastAsia" w:ascii="仿宋" w:hAnsi="仿宋" w:eastAsia="仿宋" w:cs="仿宋"/>
          <w:b w:val="0"/>
          <w:bCs w:val="0"/>
          <w:color w:val="auto"/>
          <w:sz w:val="32"/>
          <w:szCs w:val="32"/>
          <w:lang w:val="en-US" w:eastAsia="zh-CN"/>
        </w:rPr>
        <w:t>在街镇推进家庭照护床位试点工作；保持居家养老照护服务人数为户籍老年人口的7%；新建14家社区老年人助餐场所，引进和培育中央厨房参与老年助餐工作，形成5个集中配送中心；新建5家社区综合为老服务中心，5家社区老年人日间服务中心，6个标准化老年活动室，10个示范睦邻点；在各街镇“养老顾问点”全覆盖的基础上延伸到居村委，在居村委设立50个养老顾问点，进一步扩大养老顾问点的覆盖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lang w:val="en-US" w:eastAsia="zh-CN"/>
        </w:rPr>
        <w:t>2、强化养老服务政策支撑。</w:t>
      </w:r>
      <w:r>
        <w:rPr>
          <w:rFonts w:hint="eastAsia" w:ascii="楷体" w:hAnsi="楷体" w:eastAsia="楷体" w:cs="楷体"/>
          <w:b/>
          <w:bCs/>
          <w:color w:val="auto"/>
          <w:sz w:val="32"/>
          <w:szCs w:val="32"/>
          <w:lang w:val="en-US" w:eastAsia="zh-CN"/>
        </w:rPr>
        <w:t>养老服务，</w:t>
      </w:r>
      <w:r>
        <w:rPr>
          <w:rFonts w:hint="eastAsia" w:ascii="仿宋" w:hAnsi="仿宋" w:eastAsia="仿宋" w:cs="仿宋"/>
          <w:color w:val="auto"/>
          <w:sz w:val="32"/>
          <w:szCs w:val="32"/>
          <w:highlight w:val="none"/>
          <w:lang w:val="en-US" w:eastAsia="zh-CN"/>
        </w:rPr>
        <w:t>深入推进长护险个人自负部分补贴结算工作，聚焦精准补贴，严格落实政策，织密扎牢养老服务“照护网”。制定规范文件，进一步完善监管机制。</w:t>
      </w:r>
      <w:r>
        <w:rPr>
          <w:rFonts w:hint="eastAsia" w:ascii="楷体" w:hAnsi="楷体" w:eastAsia="楷体" w:cs="楷体"/>
          <w:b/>
          <w:bCs/>
          <w:color w:val="auto"/>
          <w:sz w:val="32"/>
          <w:szCs w:val="32"/>
          <w:lang w:val="en-US" w:eastAsia="zh-CN"/>
        </w:rPr>
        <w:t>长护险试点，</w:t>
      </w:r>
      <w:r>
        <w:rPr>
          <w:rFonts w:hint="eastAsia" w:ascii="仿宋" w:hAnsi="仿宋" w:eastAsia="仿宋" w:cs="仿宋"/>
          <w:color w:val="auto"/>
          <w:sz w:val="32"/>
          <w:szCs w:val="32"/>
          <w:highlight w:val="none"/>
          <w:lang w:val="en-US" w:eastAsia="zh-CN"/>
        </w:rPr>
        <w:t>做好养老服务补贴与长期护理保险衔接工作；落实机构准入审核，规范诚信服务市场，强化行业监督管理。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b/>
          <w:bCs w:val="0"/>
          <w:color w:val="auto"/>
          <w:sz w:val="32"/>
          <w:szCs w:val="32"/>
          <w:lang w:val="en-US" w:eastAsia="zh-CN"/>
        </w:rPr>
        <w:t>提升养老服务保障能级。</w:t>
      </w:r>
      <w:r>
        <w:rPr>
          <w:rFonts w:hint="eastAsia" w:ascii="楷体" w:hAnsi="楷体" w:eastAsia="楷体" w:cs="楷体"/>
          <w:b/>
          <w:bCs/>
          <w:color w:val="auto"/>
          <w:sz w:val="32"/>
          <w:szCs w:val="32"/>
          <w:lang w:val="en-US" w:eastAsia="zh-CN"/>
        </w:rPr>
        <w:t>推进养老服务标准化建设，</w:t>
      </w:r>
      <w:r>
        <w:rPr>
          <w:rFonts w:hint="eastAsia" w:ascii="仿宋_GB2312" w:hAnsi="仿宋_GB2312" w:eastAsia="仿宋_GB2312" w:cs="仿宋_GB2312"/>
          <w:color w:val="auto"/>
          <w:sz w:val="32"/>
          <w:szCs w:val="32"/>
          <w:highlight w:val="none"/>
          <w:lang w:val="en-US" w:eastAsia="zh-CN"/>
        </w:rPr>
        <w:t>积极开展养老机构等级评定、养老服务机构质量监测等工作，引导养老服务品牌建设；</w:t>
      </w:r>
      <w:r>
        <w:rPr>
          <w:rFonts w:hint="eastAsia" w:ascii="楷体" w:hAnsi="楷体" w:eastAsia="楷体" w:cs="楷体"/>
          <w:b/>
          <w:bCs/>
          <w:color w:val="auto"/>
          <w:sz w:val="32"/>
          <w:szCs w:val="32"/>
          <w:lang w:val="en-US" w:eastAsia="zh-CN"/>
        </w:rPr>
        <w:t>深化医养结合，</w:t>
      </w:r>
      <w:r>
        <w:rPr>
          <w:rFonts w:hint="eastAsia" w:ascii="仿宋_GB2312" w:hAnsi="仿宋_GB2312" w:eastAsia="仿宋_GB2312" w:cs="仿宋_GB2312"/>
          <w:color w:val="auto"/>
          <w:sz w:val="32"/>
          <w:szCs w:val="32"/>
          <w:highlight w:val="none"/>
          <w:lang w:val="en-US" w:eastAsia="zh-CN"/>
        </w:rPr>
        <w:t>进一步夯实养老机构与社区卫生服务中心签约工作；</w:t>
      </w:r>
      <w:r>
        <w:rPr>
          <w:rFonts w:hint="eastAsia" w:ascii="楷体" w:hAnsi="楷体" w:eastAsia="楷体" w:cs="楷体"/>
          <w:b/>
          <w:bCs/>
          <w:color w:val="auto"/>
          <w:sz w:val="32"/>
          <w:szCs w:val="32"/>
          <w:lang w:val="en-US" w:eastAsia="zh-CN"/>
        </w:rPr>
        <w:t>“智慧养老”服务水平升级，</w:t>
      </w:r>
      <w:r>
        <w:rPr>
          <w:rFonts w:hint="eastAsia" w:ascii="仿宋" w:hAnsi="仿宋" w:eastAsia="仿宋" w:cs="仿宋"/>
          <w:color w:val="auto"/>
          <w:sz w:val="32"/>
          <w:szCs w:val="32"/>
          <w:highlight w:val="none"/>
          <w:lang w:val="en-US" w:eastAsia="zh-CN"/>
        </w:rPr>
        <w:t>依托“区块链”，推进养老服务“时间银行”试点工作，确保试点全流程可实施可闭环，继续优化时间银行管理信息平台，推动系统</w:t>
      </w:r>
      <w:r>
        <w:rPr>
          <w:rFonts w:hint="eastAsia" w:ascii="仿宋" w:hAnsi="仿宋" w:eastAsia="仿宋" w:cs="仿宋"/>
          <w:color w:val="auto"/>
          <w:kern w:val="2"/>
          <w:sz w:val="32"/>
          <w:szCs w:val="32"/>
          <w:highlight w:val="none"/>
          <w:lang w:val="en-US" w:eastAsia="zh-CN" w:bidi="ar-SA"/>
        </w:rPr>
        <w:t>上线试运营；</w:t>
      </w:r>
      <w:r>
        <w:rPr>
          <w:rFonts w:hint="eastAsia" w:ascii="仿宋" w:hAnsi="仿宋" w:eastAsia="仿宋" w:cs="仿宋"/>
          <w:color w:val="auto"/>
          <w:sz w:val="32"/>
          <w:szCs w:val="32"/>
          <w:highlight w:val="none"/>
          <w:lang w:val="en-US" w:eastAsia="zh-CN"/>
        </w:rPr>
        <w:t>完善区养老服务平台建设，推动养老领域公共数据开放共享。</w:t>
      </w:r>
      <w:r>
        <w:rPr>
          <w:rFonts w:hint="eastAsia" w:ascii="楷体" w:hAnsi="楷体" w:eastAsia="楷体" w:cs="楷体"/>
          <w:b/>
          <w:bCs/>
          <w:color w:val="auto"/>
          <w:sz w:val="32"/>
          <w:szCs w:val="32"/>
          <w:lang w:val="en-US" w:eastAsia="zh-CN"/>
        </w:rPr>
        <w:t>加强人员队伍建设，</w:t>
      </w:r>
      <w:r>
        <w:rPr>
          <w:rFonts w:hint="eastAsia" w:ascii="仿宋" w:hAnsi="仿宋" w:eastAsia="仿宋" w:cs="仿宋"/>
          <w:color w:val="auto"/>
          <w:sz w:val="32"/>
          <w:szCs w:val="32"/>
          <w:highlight w:val="none"/>
          <w:lang w:val="en-US" w:eastAsia="zh-CN"/>
        </w:rPr>
        <w:t>开展服务人员专业化培训，继续提高机构护理员持证率；坚持居家养老服务人员100%持证上岗。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val="0"/>
          <w:color w:val="auto"/>
          <w:sz w:val="32"/>
          <w:szCs w:val="32"/>
          <w:lang w:val="en-US" w:eastAsia="zh-CN"/>
        </w:rPr>
        <w:t>4、加强养老服务行业监管。</w:t>
      </w:r>
      <w:r>
        <w:rPr>
          <w:rFonts w:hint="eastAsia" w:ascii="仿宋" w:hAnsi="仿宋" w:eastAsia="仿宋" w:cs="仿宋"/>
          <w:color w:val="auto"/>
          <w:sz w:val="32"/>
          <w:szCs w:val="32"/>
          <w:highlight w:val="none"/>
          <w:lang w:val="en-US" w:eastAsia="zh-CN"/>
        </w:rPr>
        <w:t>推进养老服务行业诚信建设；落实养老机构消防安全、食品安全以及疾病防控等综合监管；加强对养老机构财务审计、规范服务收费；进一步提高养老机构应急处置能力，加强安全教育培训，做到警钟长鸣，防患于未然；持续开展养老服务行业扫黑除恶专项工作，排摸线索，杜绝行业乱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val="0"/>
          <w:color w:val="auto"/>
          <w:sz w:val="32"/>
          <w:szCs w:val="32"/>
          <w:lang w:val="en-US" w:eastAsia="zh-CN"/>
        </w:rPr>
        <w:t>5、落实养老服务项目化配送。</w:t>
      </w:r>
      <w:r>
        <w:rPr>
          <w:rFonts w:hint="eastAsia" w:ascii="仿宋" w:hAnsi="仿宋" w:eastAsia="仿宋" w:cs="仿宋"/>
          <w:color w:val="auto"/>
          <w:sz w:val="32"/>
          <w:szCs w:val="32"/>
          <w:highlight w:val="none"/>
          <w:lang w:val="en-US" w:eastAsia="zh-CN"/>
        </w:rPr>
        <w:t>持续推进“适老房”100户改造项目；“老伙伴”计划，服务人数12900人；“老吾老”计划，为1000户家庭开展专业照护培训；安装500户“一键通”应急呼叫装置。始终做好</w:t>
      </w:r>
      <w:r>
        <w:rPr>
          <w:rFonts w:hint="eastAsia" w:ascii="仿宋" w:hAnsi="仿宋" w:eastAsia="仿宋" w:cs="仿宋"/>
          <w:b w:val="0"/>
          <w:bCs/>
          <w:color w:val="auto"/>
          <w:sz w:val="32"/>
          <w:szCs w:val="32"/>
          <w:lang w:val="en-US" w:eastAsia="zh-CN"/>
        </w:rPr>
        <w:t>老年人综合津贴发放、老年教育、老年维权、温馨八送等为老服务项目，将普惠型老年福利制度落到实处。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val="0"/>
          <w:color w:val="auto"/>
          <w:sz w:val="32"/>
          <w:szCs w:val="32"/>
          <w:lang w:val="en-US" w:eastAsia="zh-CN"/>
        </w:rPr>
        <w:t>有序推进残疾人服务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1、康复辅具进社区。</w:t>
      </w:r>
      <w:r>
        <w:rPr>
          <w:rFonts w:hint="eastAsia" w:ascii="仿宋" w:hAnsi="仿宋" w:eastAsia="仿宋" w:cs="仿宋"/>
          <w:color w:val="auto"/>
          <w:sz w:val="32"/>
          <w:szCs w:val="32"/>
          <w:highlight w:val="none"/>
          <w:lang w:val="en-US" w:eastAsia="zh-CN"/>
        </w:rPr>
        <w:t>落实《上海市人民政府关于加快发展康复辅助器具产业的实施意见》（沪府发〔2017〕64号）精神，根据《民政部、发展改革委、财政部、中国残联关于开展康复辅助器具社区租赁服务试点的通知》（民发〔2018〕152号）要求，2020年新增4个服务点，在7个街镇试点推进康复辅助器具产品进家庭、进社区、进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lang w:val="en-US" w:eastAsia="zh-CN"/>
        </w:rPr>
        <w:t>提</w:t>
      </w:r>
      <w:r>
        <w:rPr>
          <w:rFonts w:hint="eastAsia" w:ascii="仿宋" w:hAnsi="仿宋" w:eastAsia="仿宋" w:cs="仿宋"/>
          <w:b/>
          <w:bCs w:val="0"/>
          <w:color w:val="auto"/>
          <w:sz w:val="32"/>
          <w:szCs w:val="32"/>
          <w:lang w:val="en-US" w:eastAsia="zh-CN"/>
        </w:rPr>
        <w:t>升福利企业管理水平。</w:t>
      </w:r>
      <w:r>
        <w:rPr>
          <w:rFonts w:hint="eastAsia" w:ascii="仿宋" w:hAnsi="仿宋" w:eastAsia="仿宋" w:cs="仿宋"/>
          <w:b w:val="0"/>
          <w:bCs/>
          <w:color w:val="auto"/>
          <w:sz w:val="32"/>
          <w:szCs w:val="32"/>
          <w:lang w:val="en-US" w:eastAsia="zh-CN"/>
        </w:rPr>
        <w:t>落实2019年度社保补贴。开展新春、助残日等传统节日扶残帮困活动。加强对福利企业的事中事后监管，提高残疾人福利保障水平。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（三）大力推进儿童福利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bCs w:val="0"/>
          <w:color w:val="auto"/>
          <w:sz w:val="32"/>
          <w:szCs w:val="32"/>
          <w:lang w:val="en-US" w:eastAsia="zh-CN"/>
        </w:rPr>
        <w:t>1、落实困境儿童关爱保障。</w:t>
      </w:r>
      <w:r>
        <w:rPr>
          <w:rFonts w:hint="eastAsia" w:ascii="仿宋" w:hAnsi="仿宋" w:eastAsia="仿宋" w:cs="仿宋"/>
          <w:b w:val="0"/>
          <w:bCs/>
          <w:color w:val="auto"/>
          <w:sz w:val="32"/>
          <w:szCs w:val="32"/>
          <w:lang w:val="en-US" w:eastAsia="zh-CN"/>
        </w:rPr>
        <w:t>依托普陀区困境儿童关爱保护工作联席会议机制以及“区-街镇-居村”三级网络体系，织密困境儿童保护网。委托第三方对全区因监护不当、监护缺失等陷入困境的儿童以及散居孤儿开展关心关爱工作。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val="0"/>
          <w:color w:val="auto"/>
          <w:sz w:val="32"/>
          <w:szCs w:val="32"/>
          <w:lang w:val="en-US" w:eastAsia="zh-CN"/>
        </w:rPr>
        <w:t>2、加大孤弃儿童保障力度。</w:t>
      </w:r>
      <w:r>
        <w:rPr>
          <w:rFonts w:hint="eastAsia" w:ascii="仿宋" w:hAnsi="仿宋" w:eastAsia="仿宋" w:cs="仿宋"/>
          <w:color w:val="auto"/>
          <w:sz w:val="32"/>
          <w:szCs w:val="32"/>
        </w:rPr>
        <w:t>加强社会散居孤儿基本生活保障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做好成年孤儿回归社会安置工作。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b w:val="0"/>
          <w:bCs w:val="0"/>
          <w:kern w:val="0"/>
          <w:sz w:val="32"/>
          <w:szCs w:val="32"/>
          <w:lang w:eastAsia="zh-CN"/>
        </w:rPr>
        <w:t>四、</w:t>
      </w:r>
      <w:r>
        <w:rPr>
          <w:rFonts w:hint="eastAsia" w:ascii="黑体" w:hAnsi="黑体" w:eastAsia="黑体" w:cs="黑体"/>
          <w:b w:val="0"/>
          <w:bCs w:val="0"/>
          <w:kern w:val="0"/>
          <w:sz w:val="32"/>
          <w:szCs w:val="32"/>
        </w:rPr>
        <w:t>不断深化社区治理创新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落实市委“1+6”文件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进一步深化社区治理体系，让社区更加秩序、更加安全、更加和谐。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坚持党建引领</w:t>
      </w:r>
      <w:r>
        <w:rPr>
          <w:rFonts w:hint="eastAsia" w:ascii="仿宋" w:hAnsi="仿宋" w:eastAsia="仿宋" w:cs="仿宋"/>
          <w:b/>
          <w:bCs/>
          <w:color w:val="auto"/>
          <w:sz w:val="32"/>
          <w:szCs w:val="32"/>
          <w:lang w:val="en-US" w:eastAsia="zh-CN"/>
        </w:rPr>
        <w:t>激发自治活力</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持续深化“1+3+X”的小区综合治理体系，完善以居民区党组织为核心，居委会、业委会、物业公司</w:t>
      </w:r>
      <w:r>
        <w:rPr>
          <w:rFonts w:hint="eastAsia" w:ascii="仿宋" w:hAnsi="仿宋" w:eastAsia="仿宋" w:cs="仿宋"/>
          <w:color w:val="auto"/>
          <w:sz w:val="32"/>
          <w:szCs w:val="32"/>
          <w:lang w:eastAsia="zh-CN"/>
        </w:rPr>
        <w:t>、社区单位和居民</w:t>
      </w:r>
      <w:r>
        <w:rPr>
          <w:rFonts w:hint="eastAsia" w:ascii="仿宋" w:hAnsi="仿宋" w:eastAsia="仿宋" w:cs="仿宋"/>
          <w:color w:val="auto"/>
          <w:sz w:val="32"/>
          <w:szCs w:val="32"/>
        </w:rPr>
        <w:t>共同参与的议事协商机制，培育和鼓励社会组织参与，</w:t>
      </w:r>
      <w:r>
        <w:rPr>
          <w:rFonts w:hint="eastAsia" w:ascii="仿宋" w:hAnsi="仿宋" w:eastAsia="仿宋" w:cs="仿宋"/>
          <w:color w:val="auto"/>
          <w:sz w:val="32"/>
          <w:szCs w:val="32"/>
          <w:lang w:eastAsia="zh-CN"/>
        </w:rPr>
        <w:t>推动</w:t>
      </w:r>
      <w:r>
        <w:rPr>
          <w:rFonts w:hint="eastAsia" w:ascii="仿宋" w:hAnsi="仿宋" w:eastAsia="仿宋" w:cs="仿宋"/>
          <w:color w:val="auto"/>
          <w:sz w:val="32"/>
          <w:szCs w:val="32"/>
        </w:rPr>
        <w:t>供需对接，</w:t>
      </w:r>
      <w:r>
        <w:rPr>
          <w:rFonts w:hint="eastAsia" w:ascii="仿宋" w:hAnsi="仿宋" w:eastAsia="仿宋" w:cs="仿宋"/>
          <w:color w:val="auto"/>
          <w:sz w:val="32"/>
          <w:szCs w:val="32"/>
          <w:lang w:eastAsia="zh-CN"/>
        </w:rPr>
        <w:t>实现有效化解</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2、持续推进“四百”走访常态化。</w:t>
      </w:r>
      <w:r>
        <w:rPr>
          <w:rFonts w:hint="eastAsia" w:ascii="仿宋" w:hAnsi="仿宋" w:eastAsia="仿宋" w:cs="仿宋"/>
          <w:color w:val="auto"/>
          <w:sz w:val="32"/>
          <w:szCs w:val="32"/>
          <w:lang w:val="en-US" w:eastAsia="zh-CN"/>
        </w:rPr>
        <w:t>通过全覆盖无遗漏、线上线下相结合的工作方式，深化“有困难找居村”工作机制，合理分片包干，落实走访任务，建立民生档案，</w:t>
      </w:r>
      <w:r>
        <w:rPr>
          <w:rFonts w:hint="eastAsia" w:ascii="仿宋" w:hAnsi="仿宋" w:eastAsia="仿宋" w:cs="仿宋"/>
          <w:color w:val="auto"/>
          <w:sz w:val="32"/>
          <w:szCs w:val="32"/>
        </w:rPr>
        <w:t>织密织严社区治理网络，</w:t>
      </w:r>
      <w:r>
        <w:rPr>
          <w:rFonts w:hint="eastAsia" w:ascii="仿宋" w:hAnsi="仿宋" w:eastAsia="仿宋" w:cs="仿宋"/>
          <w:color w:val="auto"/>
          <w:sz w:val="32"/>
          <w:szCs w:val="32"/>
          <w:lang w:val="en-US" w:eastAsia="zh-CN"/>
        </w:rPr>
        <w:t>不断</w:t>
      </w:r>
      <w:r>
        <w:rPr>
          <w:rFonts w:hint="eastAsia" w:ascii="仿宋" w:hAnsi="仿宋" w:eastAsia="仿宋" w:cs="仿宋"/>
          <w:color w:val="auto"/>
          <w:sz w:val="32"/>
          <w:szCs w:val="32"/>
        </w:rPr>
        <w:t>推进居民区“走百家门、知百家情、解百家忧、暖百家心”</w:t>
      </w:r>
      <w:r>
        <w:rPr>
          <w:rFonts w:hint="eastAsia" w:ascii="仿宋" w:hAnsi="仿宋" w:eastAsia="仿宋" w:cs="仿宋"/>
          <w:color w:val="auto"/>
          <w:sz w:val="32"/>
          <w:szCs w:val="32"/>
          <w:lang w:val="en-US" w:eastAsia="zh-CN"/>
        </w:rPr>
        <w:t>机制</w:t>
      </w:r>
      <w:r>
        <w:rPr>
          <w:rFonts w:hint="eastAsia" w:ascii="仿宋" w:hAnsi="仿宋" w:eastAsia="仿宋" w:cs="仿宋"/>
          <w:color w:val="auto"/>
          <w:sz w:val="32"/>
          <w:szCs w:val="32"/>
        </w:rPr>
        <w:t>常态化</w:t>
      </w:r>
      <w:r>
        <w:rPr>
          <w:rFonts w:hint="eastAsia" w:ascii="仿宋" w:hAnsi="仿宋" w:eastAsia="仿宋" w:cs="仿宋"/>
          <w:color w:val="auto"/>
          <w:sz w:val="32"/>
          <w:szCs w:val="32"/>
          <w:lang w:val="en-US" w:eastAsia="zh-CN"/>
        </w:rPr>
        <w:t>和长效化</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3、加强社区工作者队伍建设。</w:t>
      </w:r>
      <w:r>
        <w:rPr>
          <w:rFonts w:hint="eastAsia" w:ascii="仿宋" w:hAnsi="仿宋" w:eastAsia="仿宋" w:cs="仿宋"/>
          <w:color w:val="auto"/>
          <w:sz w:val="32"/>
          <w:szCs w:val="32"/>
          <w:lang w:val="en-US" w:eastAsia="zh-CN"/>
        </w:rPr>
        <w:t>开展2020年社区工作者招录工作，充实居民区属地力量</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针对社区工作者队伍的不同岗位和需求开展分类培训，落实</w:t>
      </w:r>
      <w:r>
        <w:rPr>
          <w:rFonts w:hint="eastAsia" w:ascii="仿宋" w:hAnsi="仿宋" w:eastAsia="仿宋" w:cs="仿宋"/>
          <w:color w:val="auto"/>
          <w:sz w:val="32"/>
          <w:szCs w:val="32"/>
          <w:lang w:eastAsia="zh-CN"/>
        </w:rPr>
        <w:t>社区工作者培训“远航计划”；</w:t>
      </w:r>
      <w:r>
        <w:rPr>
          <w:rFonts w:hint="eastAsia" w:ascii="仿宋" w:hAnsi="仿宋" w:eastAsia="仿宋" w:cs="仿宋"/>
          <w:color w:val="auto"/>
          <w:sz w:val="32"/>
          <w:szCs w:val="32"/>
        </w:rPr>
        <w:t>研究优化</w:t>
      </w:r>
      <w:r>
        <w:rPr>
          <w:rFonts w:hint="eastAsia" w:ascii="仿宋" w:hAnsi="仿宋" w:eastAsia="仿宋" w:cs="仿宋"/>
          <w:color w:val="auto"/>
          <w:sz w:val="32"/>
          <w:szCs w:val="32"/>
          <w:lang w:val="en-US" w:eastAsia="zh-CN"/>
        </w:rPr>
        <w:t>社区工作者</w:t>
      </w:r>
      <w:r>
        <w:rPr>
          <w:rFonts w:hint="eastAsia" w:ascii="仿宋" w:hAnsi="仿宋" w:eastAsia="仿宋" w:cs="仿宋"/>
          <w:color w:val="auto"/>
          <w:sz w:val="32"/>
          <w:szCs w:val="32"/>
        </w:rPr>
        <w:t>考核评价体系，</w:t>
      </w:r>
      <w:r>
        <w:rPr>
          <w:rFonts w:hint="eastAsia" w:ascii="仿宋" w:hAnsi="仿宋" w:eastAsia="仿宋" w:cs="仿宋"/>
          <w:color w:val="auto"/>
          <w:sz w:val="32"/>
          <w:szCs w:val="32"/>
          <w:lang w:val="en-US" w:eastAsia="zh-CN"/>
        </w:rPr>
        <w:t>重点</w:t>
      </w:r>
      <w:r>
        <w:rPr>
          <w:rFonts w:hint="eastAsia" w:ascii="仿宋" w:hAnsi="仿宋" w:eastAsia="仿宋" w:cs="仿宋"/>
          <w:color w:val="auto"/>
          <w:sz w:val="32"/>
          <w:szCs w:val="32"/>
        </w:rPr>
        <w:t>突出群众观念、工作能力和服务效能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指导居委会工作人员以户为单位做好居民家庭信息基础台账的梳理归纳，提升居委会对社情民意的掌握程度</w:t>
      </w:r>
      <w:r>
        <w:rPr>
          <w:rFonts w:hint="eastAsia" w:ascii="仿宋" w:hAnsi="仿宋" w:eastAsia="仿宋" w:cs="仿宋"/>
          <w:color w:val="auto"/>
          <w:sz w:val="32"/>
          <w:szCs w:val="32"/>
        </w:rPr>
        <w:t>，促进基层队伍提质增能。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4、调整优化居委会设置</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lang w:val="en-US" w:eastAsia="zh-CN"/>
        </w:rPr>
        <w:t>开展由区领导牵头的优化居委会设置专题调研，</w:t>
      </w:r>
      <w:r>
        <w:rPr>
          <w:rFonts w:hint="eastAsia" w:ascii="仿宋" w:hAnsi="仿宋" w:eastAsia="仿宋" w:cs="仿宋"/>
          <w:color w:val="auto"/>
          <w:sz w:val="32"/>
          <w:szCs w:val="32"/>
          <w:lang w:eastAsia="zh-CN"/>
        </w:rPr>
        <w:t>进一步</w:t>
      </w:r>
      <w:r>
        <w:rPr>
          <w:rFonts w:hint="eastAsia" w:ascii="仿宋" w:hAnsi="仿宋" w:eastAsia="仿宋" w:cs="仿宋"/>
          <w:color w:val="auto"/>
          <w:sz w:val="32"/>
          <w:szCs w:val="32"/>
          <w:lang w:val="en-US" w:eastAsia="zh-CN"/>
        </w:rPr>
        <w:t>完善居民区资源配置，适度</w:t>
      </w:r>
      <w:r>
        <w:rPr>
          <w:rFonts w:hint="eastAsia" w:ascii="仿宋" w:hAnsi="仿宋" w:eastAsia="仿宋" w:cs="仿宋"/>
          <w:color w:val="auto"/>
          <w:sz w:val="32"/>
          <w:szCs w:val="32"/>
          <w:lang w:eastAsia="zh-CN"/>
        </w:rPr>
        <w:t>调整</w:t>
      </w:r>
      <w:r>
        <w:rPr>
          <w:rFonts w:hint="eastAsia" w:ascii="仿宋" w:hAnsi="仿宋" w:eastAsia="仿宋" w:cs="仿宋"/>
          <w:color w:val="auto"/>
          <w:sz w:val="32"/>
          <w:szCs w:val="32"/>
          <w:lang w:val="en-US" w:eastAsia="zh-CN"/>
        </w:rPr>
        <w:t>辖区</w:t>
      </w:r>
      <w:r>
        <w:rPr>
          <w:rFonts w:hint="eastAsia" w:ascii="仿宋" w:hAnsi="仿宋" w:eastAsia="仿宋" w:cs="仿宋"/>
          <w:color w:val="auto"/>
          <w:sz w:val="32"/>
          <w:szCs w:val="32"/>
          <w:lang w:eastAsia="zh-CN"/>
        </w:rPr>
        <w:t>户数过多或过</w:t>
      </w:r>
      <w:r>
        <w:rPr>
          <w:rFonts w:hint="eastAsia" w:ascii="仿宋" w:hAnsi="仿宋" w:eastAsia="仿宋" w:cs="仿宋"/>
          <w:color w:val="auto"/>
          <w:sz w:val="32"/>
          <w:szCs w:val="32"/>
          <w:lang w:val="en-US" w:eastAsia="zh-CN"/>
        </w:rPr>
        <w:t>少的</w:t>
      </w:r>
      <w:r>
        <w:rPr>
          <w:rFonts w:hint="eastAsia" w:ascii="仿宋" w:hAnsi="仿宋" w:eastAsia="仿宋" w:cs="仿宋"/>
          <w:color w:val="auto"/>
          <w:sz w:val="32"/>
          <w:szCs w:val="32"/>
          <w:lang w:eastAsia="zh-CN"/>
        </w:rPr>
        <w:t>居委会</w:t>
      </w:r>
      <w:r>
        <w:rPr>
          <w:rFonts w:hint="eastAsia" w:ascii="仿宋" w:hAnsi="仿宋" w:eastAsia="仿宋" w:cs="仿宋"/>
          <w:color w:val="auto"/>
          <w:sz w:val="32"/>
          <w:szCs w:val="32"/>
          <w:lang w:val="en-US" w:eastAsia="zh-CN"/>
        </w:rPr>
        <w:t>的管理规模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合理分配人员力量，为2021年居村委会换届选举工作打好基础，</w:t>
      </w:r>
      <w:r>
        <w:rPr>
          <w:rFonts w:hint="eastAsia" w:ascii="仿宋" w:hAnsi="仿宋" w:eastAsia="仿宋" w:cs="仿宋"/>
          <w:color w:val="auto"/>
          <w:sz w:val="32"/>
          <w:szCs w:val="32"/>
          <w:lang w:eastAsia="zh-CN"/>
        </w:rPr>
        <w:t>不断提升居委会服务质量，补齐社会治理短板，夯实基层基础。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黑体" w:hAnsi="黑体" w:eastAsia="黑体" w:cs="黑体"/>
          <w:color w:val="auto"/>
          <w:sz w:val="32"/>
          <w:szCs w:val="32"/>
          <w:lang w:eastAsia="zh-CN"/>
        </w:rPr>
      </w:pPr>
      <w:r>
        <w:rPr>
          <w:rFonts w:hint="eastAsia" w:ascii="黑体" w:hAnsi="黑体" w:eastAsia="黑体" w:cs="黑体"/>
          <w:b w:val="0"/>
          <w:bCs w:val="0"/>
          <w:color w:val="auto"/>
          <w:kern w:val="0"/>
          <w:sz w:val="32"/>
          <w:szCs w:val="32"/>
          <w:lang w:eastAsia="zh-CN"/>
        </w:rPr>
        <w:t>五、进一步发展社会组织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以加强社会组织党的建设为统领，推动本区社会组织有序发展，不</w:t>
      </w:r>
      <w:r>
        <w:rPr>
          <w:rFonts w:hint="eastAsia" w:ascii="仿宋" w:hAnsi="仿宋" w:eastAsia="仿宋" w:cs="仿宋"/>
          <w:color w:val="auto"/>
          <w:sz w:val="32"/>
          <w:szCs w:val="32"/>
        </w:rPr>
        <w:t>断</w:t>
      </w:r>
      <w:r>
        <w:rPr>
          <w:rFonts w:hint="eastAsia" w:ascii="仿宋" w:hAnsi="仿宋" w:eastAsia="仿宋" w:cs="仿宋"/>
          <w:color w:val="auto"/>
          <w:sz w:val="32"/>
          <w:szCs w:val="32"/>
          <w:lang w:eastAsia="zh-CN"/>
        </w:rPr>
        <w:t>扩大社会组织在社区治理中的参与度和影响力</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1、加强社会组织党建工作。</w:t>
      </w:r>
      <w:r>
        <w:rPr>
          <w:rFonts w:hint="eastAsia" w:ascii="仿宋" w:hAnsi="仿宋" w:eastAsia="仿宋" w:cs="仿宋"/>
          <w:color w:val="auto"/>
          <w:sz w:val="32"/>
          <w:szCs w:val="32"/>
          <w:lang w:val="en-US" w:eastAsia="zh-CN"/>
        </w:rPr>
        <w:t>发挥社联会党委统领引导作用，着力建设社会组织党建服务基地，提升社会组织党建质量。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w:t>
      </w:r>
      <w:r>
        <w:rPr>
          <w:rFonts w:hint="eastAsia" w:ascii="仿宋" w:hAnsi="仿宋" w:eastAsia="仿宋" w:cs="仿宋"/>
          <w:b/>
          <w:bCs/>
          <w:i w:val="0"/>
          <w:iCs w:val="0"/>
          <w:color w:val="auto"/>
          <w:sz w:val="32"/>
          <w:szCs w:val="32"/>
          <w:lang w:val="en-US" w:eastAsia="zh-CN"/>
        </w:rPr>
        <w:t>推进社会组织登记管理改革工作。</w:t>
      </w:r>
      <w:r>
        <w:rPr>
          <w:rFonts w:hint="eastAsia" w:ascii="仿宋" w:hAnsi="仿宋" w:eastAsia="仿宋" w:cs="仿宋"/>
          <w:color w:val="auto"/>
          <w:sz w:val="32"/>
          <w:szCs w:val="32"/>
          <w:lang w:val="en-US" w:eastAsia="zh-CN"/>
        </w:rPr>
        <w:t>放宽登记准入条件，鼓励和支持专业调处类社会组织的成立登记。严格登记审查，强化社会组织发起人责任；加强部门协同，落实对社会组织负责人、资金、活动的管理。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3、完善社会组织服务支持体系建设。</w:t>
      </w:r>
      <w:r>
        <w:rPr>
          <w:rFonts w:hint="eastAsia" w:ascii="仿宋" w:hAnsi="仿宋" w:eastAsia="仿宋" w:cs="仿宋"/>
          <w:color w:val="auto"/>
          <w:sz w:val="32"/>
          <w:szCs w:val="32"/>
          <w:lang w:val="en-US" w:eastAsia="zh-CN"/>
        </w:rPr>
        <w:t>加强社会组织培育孵化基地建设，优化社会组织发展结构；支持社会组织能力和品牌建设，提升社会组织数量和质量。举办上海市公益伙伴日相关活动，整合社会资源，促进跨界合作，传播公益慈善理念。进一步完善社会组织扶持政策，配合有关部门落实政府购买服务政策。进一步加强社会组织服务中心和社会组织联合会建设，实现区、街镇联动，深化社会组织枢纽式服务管理，促进社会组织创新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4、推动社区基金会规范运作发展。</w:t>
      </w:r>
      <w:r>
        <w:rPr>
          <w:rFonts w:hint="eastAsia" w:ascii="仿宋" w:hAnsi="仿宋" w:eastAsia="仿宋" w:cs="仿宋"/>
          <w:color w:val="auto"/>
          <w:sz w:val="32"/>
          <w:szCs w:val="32"/>
          <w:lang w:val="en-US" w:eastAsia="zh-CN"/>
        </w:rPr>
        <w:t>与公募基金会对接，提升资金筹集和项目运作能力，推动政府、企业、社会组织等各类主体跨界融合，实现社区自治共治。推进社区基金会品牌影响力建设，扩大社区基金会影响力。加强自身能力建设和自律自治，促进社区基金会规范运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5、加强社会组织人才队伍建设。</w:t>
      </w:r>
      <w:r>
        <w:rPr>
          <w:rFonts w:hint="eastAsia" w:ascii="仿宋" w:hAnsi="仿宋" w:eastAsia="仿宋" w:cs="仿宋"/>
          <w:color w:val="auto"/>
          <w:sz w:val="32"/>
          <w:szCs w:val="32"/>
          <w:lang w:val="en-US" w:eastAsia="zh-CN"/>
        </w:rPr>
        <w:t>开展业务培训，加强社会组织人才培养，强化社会组织服务人员能力建设。发挥社会组织园区及街镇孵化园地的集聚品牌效应，注重培育一批品牌社会组织和优秀社会组织领军人物，增强我区社会组织影响力。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6、加强社会组织综合监管体系建设。</w:t>
      </w:r>
      <w:r>
        <w:rPr>
          <w:rFonts w:hint="eastAsia" w:ascii="仿宋" w:hAnsi="仿宋" w:eastAsia="仿宋" w:cs="仿宋"/>
          <w:color w:val="auto"/>
          <w:sz w:val="32"/>
          <w:szCs w:val="32"/>
          <w:lang w:val="en-US" w:eastAsia="zh-CN"/>
        </w:rPr>
        <w:t>加强社会组织事中事后监管。提高规范化建设等级评估参与积极性和覆盖率。加大社会组织信息公开力度。加大社会组织执法监察力度，加强社会组织预警网络建设，完善社会组织监督反应机制。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提升公共服务能力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以人民群众获得感为出发点，有序做好社会专项服务，进一步推动社会服务精细化和智能化发展。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1、深化社区政务服务。</w:t>
      </w:r>
      <w:r>
        <w:rPr>
          <w:rFonts w:hint="eastAsia" w:ascii="仿宋" w:hAnsi="仿宋" w:eastAsia="仿宋" w:cs="仿宋"/>
          <w:b w:val="0"/>
          <w:bCs w:val="0"/>
          <w:color w:val="auto"/>
          <w:sz w:val="32"/>
          <w:szCs w:val="32"/>
          <w:lang w:val="en-US" w:eastAsia="zh-CN"/>
        </w:rPr>
        <w:t>持续加强标准化建设，深化社区事务受理服务中心“全市通办”、“一网通办”，不断扩大综合窗口设置比例，落实“好差评”工作。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val="0"/>
          <w:bCs w:val="0"/>
          <w:color w:val="auto"/>
          <w:sz w:val="32"/>
          <w:szCs w:val="32"/>
          <w:lang w:val="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val="zh-CN"/>
        </w:rPr>
        <w:t>婚姻收养管理水平持续优化。</w:t>
      </w:r>
      <w:r>
        <w:rPr>
          <w:rFonts w:hint="eastAsia" w:ascii="仿宋" w:hAnsi="仿宋" w:eastAsia="仿宋" w:cs="仿宋"/>
          <w:b w:val="0"/>
          <w:bCs w:val="0"/>
          <w:color w:val="auto"/>
          <w:sz w:val="32"/>
          <w:szCs w:val="32"/>
          <w:lang w:val="zh-CN"/>
        </w:rPr>
        <w:t>举办纪念《中华人民共和国婚姻法》颁布70周年系列活动。强化婚姻文化品牌建设，升级服务品牌系列活动，营造和谐家庭氛围。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val="zh-CN"/>
        </w:rPr>
        <w:t>做好福利彩票相关工作</w:t>
      </w:r>
      <w:r>
        <w:rPr>
          <w:rFonts w:hint="eastAsia" w:ascii="仿宋" w:hAnsi="仿宋" w:eastAsia="仿宋" w:cs="仿宋"/>
          <w:b/>
          <w:bCs/>
          <w:color w:val="auto"/>
          <w:kern w:val="0"/>
          <w:sz w:val="32"/>
          <w:szCs w:val="32"/>
          <w:lang w:val="zh-CN"/>
        </w:rPr>
        <w:t>。</w:t>
      </w:r>
      <w:r>
        <w:rPr>
          <w:rFonts w:hint="eastAsia" w:ascii="仿宋" w:hAnsi="仿宋" w:eastAsia="仿宋" w:cs="仿宋"/>
          <w:b w:val="0"/>
          <w:bCs w:val="0"/>
          <w:color w:val="auto"/>
          <w:sz w:val="32"/>
          <w:szCs w:val="32"/>
          <w:highlight w:val="none"/>
          <w:lang w:val="en-US" w:eastAsia="zh-CN"/>
        </w:rPr>
        <w:t>加强福彩销售网点考核与监管，推进新渠道网点建设，拓展福彩宣传渠道</w:t>
      </w:r>
      <w:r>
        <w:rPr>
          <w:rFonts w:hint="eastAsia" w:ascii="仿宋" w:hAnsi="仿宋" w:eastAsia="仿宋" w:cs="仿宋"/>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2"/>
          <w:sz w:val="32"/>
          <w:szCs w:val="32"/>
          <w:lang w:val="en-US" w:eastAsia="zh-CN" w:bidi="ar-SA"/>
        </w:rPr>
        <w:t>4、</w:t>
      </w:r>
      <w:r>
        <w:rPr>
          <w:rFonts w:hint="eastAsia" w:ascii="仿宋" w:hAnsi="仿宋" w:eastAsia="仿宋" w:cs="仿宋"/>
          <w:b/>
          <w:bCs/>
          <w:color w:val="auto"/>
          <w:sz w:val="32"/>
          <w:szCs w:val="32"/>
          <w:lang w:eastAsia="zh-CN"/>
        </w:rPr>
        <w:t>继续做好殡葬领域扫黑除恶专项行动。</w:t>
      </w:r>
      <w:r>
        <w:rPr>
          <w:rFonts w:hint="eastAsia" w:ascii="仿宋" w:hAnsi="仿宋" w:eastAsia="仿宋" w:cs="仿宋"/>
          <w:color w:val="auto"/>
          <w:sz w:val="32"/>
          <w:szCs w:val="32"/>
          <w:highlight w:val="none"/>
        </w:rPr>
        <w:t>加强辖区内殡葬领域风险点排摸，进一步规范殡葬服务市场秩序</w:t>
      </w:r>
      <w:r>
        <w:rPr>
          <w:rFonts w:hint="eastAsia" w:ascii="仿宋" w:hAnsi="仿宋" w:eastAsia="仿宋" w:cs="仿宋"/>
          <w:color w:val="auto"/>
          <w:sz w:val="32"/>
          <w:szCs w:val="32"/>
          <w:highlight w:val="none"/>
          <w:lang w:eastAsia="zh-CN"/>
        </w:rPr>
        <w:t>，防范行业乱象。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七、加强</w:t>
      </w:r>
      <w:r>
        <w:rPr>
          <w:rFonts w:hint="eastAsia" w:ascii="黑体" w:hAnsi="黑体" w:eastAsia="黑体" w:cs="黑体"/>
          <w:color w:val="auto"/>
          <w:sz w:val="32"/>
          <w:szCs w:val="32"/>
        </w:rPr>
        <w:t>民政自身建设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以党的建设为统领，</w:t>
      </w:r>
      <w:r>
        <w:rPr>
          <w:rFonts w:hint="eastAsia" w:ascii="仿宋" w:hAnsi="仿宋" w:eastAsia="仿宋" w:cs="仿宋"/>
          <w:color w:val="auto"/>
          <w:sz w:val="32"/>
          <w:szCs w:val="32"/>
          <w:highlight w:val="none"/>
          <w:lang w:eastAsia="zh-CN"/>
        </w:rPr>
        <w:t>全面加强民政自身建设，</w:t>
      </w:r>
      <w:r>
        <w:rPr>
          <w:rFonts w:hint="eastAsia" w:ascii="仿宋" w:hAnsi="仿宋" w:eastAsia="仿宋" w:cs="仿宋"/>
          <w:color w:val="auto"/>
          <w:sz w:val="32"/>
          <w:szCs w:val="32"/>
          <w:highlight w:val="none"/>
        </w:rPr>
        <w:t>不断提升民政工作能级。</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lang w:eastAsia="zh-CN"/>
        </w:rPr>
        <w:t>全面加强党的建设。</w:t>
      </w:r>
      <w:r>
        <w:rPr>
          <w:rFonts w:hint="eastAsia" w:ascii="仿宋" w:hAnsi="仿宋" w:eastAsia="仿宋" w:cs="仿宋"/>
          <w:color w:val="auto"/>
          <w:sz w:val="32"/>
          <w:szCs w:val="32"/>
          <w:highlight w:val="none"/>
        </w:rPr>
        <w:t>落实新时代党的建设总要求，</w:t>
      </w:r>
      <w:r>
        <w:rPr>
          <w:rFonts w:hint="eastAsia" w:ascii="仿宋" w:hAnsi="仿宋" w:eastAsia="仿宋" w:cs="仿宋"/>
          <w:color w:val="auto"/>
          <w:sz w:val="32"/>
          <w:szCs w:val="32"/>
          <w:highlight w:val="none"/>
          <w:lang w:eastAsia="zh-CN"/>
        </w:rPr>
        <w:t>深入开展好习近平新时代中国特色社会主义思想的学习活动。巩固和拓展主题教育成果，把不忘初心、牢记使命作为加强党的建设的永恒课题和全体党员干部的终身课题。落实全面从严治党“四责协同”机制，以管党治党责任的落实推动各项工作落实，</w:t>
      </w:r>
      <w:r>
        <w:rPr>
          <w:rFonts w:hint="eastAsia" w:ascii="仿宋" w:hAnsi="仿宋" w:eastAsia="仿宋" w:cs="仿宋"/>
          <w:color w:val="auto"/>
          <w:sz w:val="32"/>
          <w:szCs w:val="32"/>
          <w:highlight w:val="none"/>
        </w:rPr>
        <w:t>推进党建和业务工作深度融合，加强基层党组织和党员干部队伍建设，夯实党建工作的基层基础。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2、打造高素质干部队伍。</w:t>
      </w:r>
      <w:r>
        <w:rPr>
          <w:rFonts w:hint="eastAsia" w:ascii="仿宋" w:hAnsi="仿宋" w:eastAsia="仿宋" w:cs="仿宋"/>
          <w:color w:val="auto"/>
          <w:sz w:val="32"/>
          <w:szCs w:val="32"/>
        </w:rPr>
        <w:t>着力加强干部工作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加快建设一支充满激情、富于创造、敢于担当的民政干部队伍</w:t>
      </w:r>
      <w:r>
        <w:rPr>
          <w:rFonts w:hint="eastAsia" w:ascii="仿宋" w:hAnsi="仿宋" w:eastAsia="仿宋" w:cs="仿宋"/>
          <w:color w:val="auto"/>
          <w:sz w:val="32"/>
          <w:szCs w:val="32"/>
          <w:lang w:eastAsia="zh-CN"/>
        </w:rPr>
        <w:t>，坚持内强素质，外树形象，</w:t>
      </w:r>
      <w:r>
        <w:rPr>
          <w:rFonts w:hint="eastAsia" w:ascii="仿宋" w:hAnsi="仿宋" w:eastAsia="仿宋" w:cs="仿宋"/>
          <w:color w:val="auto"/>
          <w:sz w:val="32"/>
          <w:szCs w:val="32"/>
        </w:rPr>
        <w:t>激励广大民政干部新时代新担当新作为。着力加强人才工作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加快培养民政事业发展所需的优秀人才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构筑民政人才高地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不断提升民政工作专业化水平。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不断强化服务保障。</w:t>
      </w:r>
      <w:r>
        <w:rPr>
          <w:rFonts w:hint="eastAsia" w:ascii="仿宋" w:hAnsi="仿宋" w:eastAsia="仿宋" w:cs="仿宋"/>
          <w:color w:val="auto"/>
          <w:sz w:val="32"/>
          <w:szCs w:val="32"/>
          <w:lang w:eastAsia="zh-CN"/>
        </w:rPr>
        <w:t>依托普陀民政微信公众号，</w:t>
      </w:r>
      <w:r>
        <w:rPr>
          <w:rFonts w:hint="eastAsia" w:ascii="仿宋" w:hAnsi="仿宋" w:eastAsia="仿宋" w:cs="仿宋"/>
          <w:color w:val="auto"/>
          <w:sz w:val="32"/>
          <w:szCs w:val="32"/>
        </w:rPr>
        <w:t>以讲好民政故事、传播民政声音、展现民政形象为出发点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做好民政宣传工作。完善财务内控</w:t>
      </w:r>
      <w:r>
        <w:rPr>
          <w:rFonts w:hint="eastAsia" w:ascii="仿宋" w:hAnsi="仿宋" w:eastAsia="仿宋" w:cs="仿宋"/>
          <w:color w:val="auto"/>
          <w:sz w:val="32"/>
          <w:szCs w:val="32"/>
          <w:lang w:eastAsia="zh-CN"/>
        </w:rPr>
        <w:t>制度，</w:t>
      </w:r>
      <w:r>
        <w:rPr>
          <w:rFonts w:hint="eastAsia" w:ascii="仿宋" w:hAnsi="仿宋" w:eastAsia="仿宋" w:cs="仿宋"/>
          <w:color w:val="auto"/>
          <w:sz w:val="32"/>
          <w:szCs w:val="32"/>
        </w:rPr>
        <w:t>加强民政资金监管。加强工会、共青团、文明行业创建等工作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进一步发挥群团组织的桥梁纽带作用。做好信访稳定工作排査化解突出信访矛盾。科学编制</w:t>
      </w:r>
      <w:r>
        <w:rPr>
          <w:rFonts w:hint="eastAsia" w:ascii="仿宋" w:hAnsi="仿宋" w:eastAsia="仿宋" w:cs="仿宋"/>
          <w:color w:val="auto"/>
          <w:sz w:val="32"/>
          <w:szCs w:val="32"/>
          <w:lang w:eastAsia="zh-CN"/>
        </w:rPr>
        <w:t>普陀</w:t>
      </w:r>
      <w:r>
        <w:rPr>
          <w:rFonts w:hint="eastAsia" w:ascii="仿宋" w:hAnsi="仿宋" w:eastAsia="仿宋" w:cs="仿宋"/>
          <w:color w:val="auto"/>
          <w:sz w:val="32"/>
          <w:szCs w:val="32"/>
        </w:rPr>
        <w:t>民政事业发展“十四五”规划。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rPr>
          <w:rFonts w:hint="eastAsia" w:ascii="仿宋" w:hAnsi="仿宋" w:eastAsia="仿宋" w:cs="仿宋"/>
          <w:kern w:val="2"/>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rPr>
          <w:rFonts w:hint="eastAsia" w:ascii="仿宋" w:hAnsi="仿宋" w:eastAsia="仿宋" w:cs="仿宋"/>
          <w:kern w:val="2"/>
          <w:sz w:val="32"/>
          <w:szCs w:val="32"/>
          <w:lang w:bidi="ar-SA"/>
        </w:rPr>
      </w:pPr>
    </w:p>
    <w:p>
      <w:pPr>
        <w:ind w:firstLine="294" w:firstLineChars="0"/>
        <w:jc w:val="left"/>
        <w:rPr>
          <w:rFonts w:hint="eastAsia" w:ascii="仿宋" w:hAnsi="仿宋" w:eastAsia="仿宋" w:cs="仿宋"/>
          <w:kern w:val="2"/>
          <w:sz w:val="32"/>
          <w:szCs w:val="32"/>
          <w:lang w:bidi="ar-SA"/>
        </w:rPr>
      </w:pPr>
    </w:p>
    <w:p>
      <w:pPr>
        <w:ind w:firstLine="294" w:firstLineChars="0"/>
        <w:jc w:val="left"/>
        <w:rPr>
          <w:rFonts w:hint="eastAsia" w:ascii="仿宋" w:hAnsi="仿宋" w:eastAsia="仿宋" w:cs="仿宋"/>
          <w:kern w:val="2"/>
          <w:sz w:val="32"/>
          <w:szCs w:val="32"/>
          <w:lang w:bidi="ar-SA"/>
        </w:rPr>
      </w:pPr>
    </w:p>
    <w:p>
      <w:pPr>
        <w:ind w:firstLine="294" w:firstLineChars="0"/>
        <w:jc w:val="left"/>
        <w:rPr>
          <w:rFonts w:hint="eastAsia" w:ascii="仿宋" w:hAnsi="仿宋" w:eastAsia="仿宋" w:cs="仿宋"/>
          <w:kern w:val="2"/>
          <w:sz w:val="32"/>
          <w:szCs w:val="32"/>
          <w:lang w:bidi="ar-SA"/>
        </w:rPr>
      </w:pPr>
    </w:p>
    <w:p>
      <w:bookmarkStart w:id="0" w:name="_GoBack"/>
      <w:bookmarkEnd w:id="0"/>
    </w:p>
    <w:sectPr>
      <w:headerReference r:id="rId3" w:type="default"/>
      <w:footerReference r:id="rId4" w:type="default"/>
      <w:footerReference r:id="rId5" w:type="even"/>
      <w:pgSz w:w="11907" w:h="16840"/>
      <w:pgMar w:top="2041" w:right="1247" w:bottom="1134" w:left="1814" w:header="851" w:footer="1304" w:gutter="0"/>
      <w:pgNumType w:fmt="numberInDash"/>
      <w:cols w:space="720" w:num="1"/>
      <w:rtlGutter w:val="0"/>
      <w:docGrid w:type="linesAndChars" w:linePitch="582"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宋体"/>
    <w:panose1 w:val="02010600030101010101"/>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Bdr>
        <w:top w:val="none" w:color="auto" w:sz="0" w:space="0"/>
        <w:left w:val="none" w:color="auto" w:sz="0" w:space="0"/>
        <w:bottom w:val="none" w:color="auto" w:sz="0" w:space="0"/>
        <w:right w:val="none" w:color="auto" w:sz="0" w:space="0"/>
        <w:between w:val="none" w:color="auto" w:sz="50" w:space="0"/>
      </w:pBdr>
      <w:spacing w:after="0" w:afterLines="0"/>
    </w:pPr>
    <w:r>
      <w:rPr>
        <w:sz w:val="21"/>
      </w:rPr>
      <w:fldChar w:fldCharType="begin"/>
    </w:r>
    <w:r>
      <w:rPr>
        <w:rStyle w:val="5"/>
        <w:sz w:val="21"/>
      </w:rPr>
      <w:instrText xml:space="preserve"> PAGE  </w:instrText>
    </w:r>
    <w:r>
      <w:rPr>
        <w:sz w:val="21"/>
      </w:rPr>
      <w:fldChar w:fldCharType="separate"/>
    </w:r>
    <w:r>
      <w:rPr>
        <w:rStyle w:val="5"/>
        <w:sz w:val="21"/>
      </w:rPr>
      <w:t>- 1 -</w:t>
    </w:r>
    <w:r>
      <w:rPr>
        <w:sz w:val="21"/>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B32AB"/>
    <w:multiLevelType w:val="singleLevel"/>
    <w:tmpl w:val="5E6B32AB"/>
    <w:lvl w:ilvl="0" w:tentative="0">
      <w:start w:val="1"/>
      <w:numFmt w:val="decimal"/>
      <w:suff w:val="nothing"/>
      <w:lvlText w:val="%1、"/>
      <w:lvlJc w:val="left"/>
    </w:lvl>
  </w:abstractNum>
  <w:abstractNum w:abstractNumId="1">
    <w:nsid w:val="5E706FEF"/>
    <w:multiLevelType w:val="singleLevel"/>
    <w:tmpl w:val="5E706FEF"/>
    <w:lvl w:ilvl="0" w:tentative="0">
      <w:start w:val="1"/>
      <w:numFmt w:val="chineseCounting"/>
      <w:suff w:val="nothing"/>
      <w:lvlText w:val="%1、"/>
      <w:lvlJc w:val="left"/>
    </w:lvl>
  </w:abstractNum>
  <w:abstractNum w:abstractNumId="2">
    <w:nsid w:val="5E707065"/>
    <w:multiLevelType w:val="singleLevel"/>
    <w:tmpl w:val="5E70706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012F6"/>
    <w:rsid w:val="51B012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paragraph" w:customStyle="1" w:styleId="4">
    <w:name w:val="_Style 1"/>
    <w:basedOn w:val="1"/>
    <w:link w:val="3"/>
    <w:uiPriority w:val="0"/>
    <w:pPr>
      <w:widowControl/>
      <w:spacing w:after="160" w:afterLines="0" w:line="240" w:lineRule="exact"/>
      <w:jc w:val="left"/>
    </w:p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2020-03-25T07:09:00Z</dcterms:created>
  <dc:creator>普陀区人民政府专用版</dc:creator>
  <cp:lastModifiedBy>普陀区人民政府专用版</cp:lastModifiedBy>
  <dcterms:modified xsi:type="dcterms:W3CDTF">2020-03-25T07:10:16Z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