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-246380</wp:posOffset>
                </wp:positionV>
                <wp:extent cx="657225" cy="29527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附件２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45pt;margin-top:-19.4pt;height:23.25pt;width:51.75pt;z-index:251697152;mso-width-relative:page;mso-height-relative:page;" fillcolor="#FFFFFF" filled="t" stroked="f" coordsize="21600,21600" o:gfxdata="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JG7C1gAAAAcBAAAP&#10;AAAAAAAAAAEAIAAAACIAAABkcnMvZG93bnJldi54bWxQSwECFAAUAAAACACHTuJAYZ59Z+EBAAC5&#10;AwAADgAAAAAAAAABACAAAAAlAQAAZHJzL2Uyb0RvYy54bWxQSwUGAAAAAAYABgBZAQAAeA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附件２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(部门)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违法建筑巡查记录单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575"/>
        <w:gridCol w:w="567"/>
        <w:gridCol w:w="567"/>
        <w:gridCol w:w="567"/>
        <w:gridCol w:w="567"/>
        <w:gridCol w:w="567"/>
        <w:gridCol w:w="570"/>
        <w:gridCol w:w="2505"/>
        <w:gridCol w:w="321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sz w:val="28"/>
                <w:szCs w:val="28"/>
              </w:rPr>
              <w:t>日  期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巡查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</w:tc>
        <w:tc>
          <w:tcPr>
            <w:tcW w:w="34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违建类型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发现地址</w:t>
            </w:r>
          </w:p>
        </w:tc>
        <w:tc>
          <w:tcPr>
            <w:tcW w:w="32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处置情况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违建人员及联系方式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正在搭建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三合一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地下空间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居改非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占绿毁绿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说明：1、该表由网格中心、居委会、物业巡查人员进行填写；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2、违建类型：若发现有新增违建，勾选其中一项；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3、处置情况：若有新增违建，填写现场处置情况，报告违建的时间、接收报告的街道部门和人员；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pgSz w:w="16838" w:h="11906" w:orient="landscape"/>
          <w:pgMar w:top="1361" w:right="1440" w:bottom="1361" w:left="1440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4、违建人员及联系方式：填写违建人员姓名及联系方式。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270B"/>
    <w:rsid w:val="20C3270B"/>
    <w:rsid w:val="50D71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2018-06-07T02:26:00Z</dcterms:created>
  <dc:creator>普陀区人民政府专用版</dc:creator>
  <cp:lastModifiedBy>普陀区人民政府专用版</cp:lastModifiedBy>
  <dcterms:modified xsi:type="dcterms:W3CDTF">2018-06-07T02:26:48Z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