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8947" w:type="dxa"/>
        <w:tblInd w:w="0" w:type="dxa"/>
        <w:tblLayout w:type="fixed"/>
        <w:tblCellMar>
          <w:top w:w="0" w:type="dxa"/>
          <w:left w:w="108" w:type="dxa"/>
          <w:bottom w:w="0" w:type="dxa"/>
          <w:right w:w="108" w:type="dxa"/>
        </w:tblCellMar>
      </w:tblPr>
      <w:tblGrid>
        <w:gridCol w:w="8947"/>
      </w:tblGrid>
      <w:tr>
        <w:tblPrEx>
          <w:tblCellMar>
            <w:top w:w="0" w:type="dxa"/>
            <w:left w:w="108" w:type="dxa"/>
            <w:bottom w:w="0" w:type="dxa"/>
            <w:right w:w="108" w:type="dxa"/>
          </w:tblCellMar>
        </w:tblPrEx>
        <w:tc>
          <w:tcPr>
            <w:tcW w:w="8947" w:type="dxa"/>
            <w:vAlign w:val="top"/>
          </w:tcPr>
          <w:p>
            <w:pPr>
              <w:keepNext w:val="0"/>
              <w:keepLines w:val="0"/>
              <w:pageBreakBefore w:val="0"/>
              <w:widowControl w:val="0"/>
              <w:tabs>
                <w:tab w:val="left" w:pos="7938"/>
              </w:tabs>
              <w:kinsoku/>
              <w:overflowPunct/>
              <w:topLinePunct w:val="0"/>
              <w:autoSpaceDE/>
              <w:autoSpaceDN/>
              <w:bidi w:val="0"/>
              <w:adjustRightInd w:val="0"/>
              <w:snapToGrid w:val="0"/>
              <w:jc w:val="center"/>
              <w:textAlignment w:val="auto"/>
              <w:rPr>
                <w:rFonts w:ascii="方正小标宋简体" w:eastAsia="方正小标宋简体"/>
                <w:color w:val="FF0000"/>
                <w:sz w:val="72"/>
                <w:szCs w:val="72"/>
              </w:rPr>
            </w:pPr>
          </w:p>
        </w:tc>
      </w:tr>
      <w:tr>
        <w:tblPrEx>
          <w:tblCellMar>
            <w:top w:w="0" w:type="dxa"/>
            <w:left w:w="108" w:type="dxa"/>
            <w:bottom w:w="0" w:type="dxa"/>
            <w:right w:w="108" w:type="dxa"/>
          </w:tblCellMar>
        </w:tblPrEx>
        <w:trPr>
          <w:trHeight w:val="1246" w:hRule="atLeast"/>
        </w:trPr>
        <w:tc>
          <w:tcPr>
            <w:tcW w:w="8947" w:type="dxa"/>
            <w:vAlign w:val="center"/>
          </w:tcPr>
          <w:p>
            <w:pPr>
              <w:keepNext w:val="0"/>
              <w:keepLines w:val="0"/>
              <w:pageBreakBefore w:val="0"/>
              <w:widowControl w:val="0"/>
              <w:kinsoku/>
              <w:overflowPunct/>
              <w:topLinePunct w:val="0"/>
              <w:autoSpaceDE/>
              <w:autoSpaceDN/>
              <w:bidi w:val="0"/>
              <w:adjustRightInd w:val="0"/>
              <w:snapToGrid w:val="0"/>
              <w:jc w:val="center"/>
              <w:textAlignment w:val="auto"/>
              <w:rPr>
                <w:rFonts w:ascii="方正小标宋简体" w:eastAsia="方正小标宋简体"/>
                <w:color w:val="FFFFFF"/>
                <w:spacing w:val="-20"/>
                <w:sz w:val="72"/>
                <w:szCs w:val="72"/>
              </w:rPr>
            </w:pPr>
          </w:p>
        </w:tc>
      </w:tr>
      <w:tr>
        <w:tblPrEx>
          <w:tblCellMar>
            <w:top w:w="0" w:type="dxa"/>
            <w:left w:w="108" w:type="dxa"/>
            <w:bottom w:w="0" w:type="dxa"/>
            <w:right w:w="108" w:type="dxa"/>
          </w:tblCellMar>
        </w:tblPrEx>
        <w:tc>
          <w:tcPr>
            <w:tcW w:w="8947" w:type="dxa"/>
            <w:vAlign w:val="top"/>
          </w:tcPr>
          <w:p>
            <w:pPr>
              <w:keepNext w:val="0"/>
              <w:keepLines w:val="0"/>
              <w:pageBreakBefore w:val="0"/>
              <w:widowControl w:val="0"/>
              <w:tabs>
                <w:tab w:val="left" w:pos="851"/>
                <w:tab w:val="left" w:pos="3828"/>
                <w:tab w:val="left" w:pos="4395"/>
                <w:tab w:val="left" w:pos="4820"/>
                <w:tab w:val="left" w:pos="7797"/>
              </w:tabs>
              <w:kinsoku/>
              <w:overflowPunct/>
              <w:topLinePunct w:val="0"/>
              <w:autoSpaceDE/>
              <w:autoSpaceDN/>
              <w:bidi w:val="0"/>
              <w:adjustRightInd w:val="0"/>
              <w:snapToGrid w:val="0"/>
              <w:jc w:val="center"/>
              <w:textAlignment w:val="auto"/>
              <w:rPr>
                <w:color w:val="FF0000"/>
                <w:sz w:val="44"/>
                <w:szCs w:val="44"/>
              </w:rPr>
            </w:pPr>
            <w:r>
              <w:rPr>
                <w:rFonts w:hint="eastAsia" w:ascii="仿宋" w:hAnsi="仿宋" w:eastAsia="仿宋" w:cs="仿宋"/>
                <w:sz w:val="32"/>
                <w:szCs w:val="32"/>
              </w:rPr>
              <w:t>普团委〔20</w:t>
            </w:r>
            <w:r>
              <w:rPr>
                <w:rFonts w:hint="eastAsia" w:ascii="仿宋" w:hAnsi="仿宋" w:eastAsia="仿宋" w:cs="仿宋"/>
                <w:sz w:val="32"/>
                <w:szCs w:val="32"/>
                <w:lang w:val="en-US" w:eastAsia="zh-CN"/>
              </w:rPr>
              <w:t>24</w:t>
            </w:r>
            <w:r>
              <w:rPr>
                <w:rFonts w:hint="eastAsia" w:ascii="仿宋" w:hAnsi="仿宋" w:eastAsia="仿宋" w:cs="仿宋"/>
                <w:sz w:val="32"/>
                <w:szCs w:val="32"/>
              </w:rPr>
              <w:t>〕</w:t>
            </w:r>
            <w:r>
              <w:rPr>
                <w:rFonts w:hint="eastAsia" w:ascii="仿宋" w:hAnsi="仿宋" w:eastAsia="仿宋" w:cs="仿宋"/>
                <w:sz w:val="32"/>
                <w:szCs w:val="32"/>
                <w:lang w:val="en-US" w:eastAsia="zh-CN"/>
              </w:rPr>
              <w:t>18</w:t>
            </w:r>
            <w:r>
              <w:rPr>
                <w:rFonts w:hint="eastAsia" w:ascii="仿宋" w:hAnsi="仿宋" w:eastAsia="仿宋" w:cs="仿宋"/>
                <w:sz w:val="32"/>
                <w:szCs w:val="32"/>
              </w:rPr>
              <w:t>号</w:t>
            </w:r>
          </w:p>
        </w:tc>
      </w:tr>
      <w:tr>
        <w:tblPrEx>
          <w:tblCellMar>
            <w:top w:w="0" w:type="dxa"/>
            <w:left w:w="108" w:type="dxa"/>
            <w:bottom w:w="0" w:type="dxa"/>
            <w:right w:w="108" w:type="dxa"/>
          </w:tblCellMar>
        </w:tblPrEx>
        <w:tc>
          <w:tcPr>
            <w:tcW w:w="8947" w:type="dxa"/>
            <w:vAlign w:val="top"/>
          </w:tcPr>
          <w:p>
            <w:pPr>
              <w:keepNext w:val="0"/>
              <w:keepLines w:val="0"/>
              <w:pageBreakBefore w:val="0"/>
              <w:widowControl w:val="0"/>
              <w:tabs>
                <w:tab w:val="left" w:pos="709"/>
                <w:tab w:val="left" w:pos="7938"/>
              </w:tabs>
              <w:kinsoku/>
              <w:overflowPunct/>
              <w:topLinePunct w:val="0"/>
              <w:autoSpaceDE/>
              <w:autoSpaceDN/>
              <w:bidi w:val="0"/>
              <w:adjustRightInd w:val="0"/>
              <w:snapToGrid w:val="0"/>
              <w:spacing w:line="340" w:lineRule="exact"/>
              <w:jc w:val="center"/>
              <w:textAlignment w:val="auto"/>
              <w:rPr>
                <w:b/>
                <w:sz w:val="32"/>
                <w:szCs w:val="32"/>
              </w:rPr>
            </w:pPr>
          </w:p>
        </w:tc>
      </w:tr>
      <w:tr>
        <w:tblPrEx>
          <w:tblCellMar>
            <w:top w:w="0" w:type="dxa"/>
            <w:left w:w="108" w:type="dxa"/>
            <w:bottom w:w="0" w:type="dxa"/>
            <w:right w:w="108" w:type="dxa"/>
          </w:tblCellMar>
        </w:tblPrEx>
        <w:tc>
          <w:tcPr>
            <w:tcW w:w="8947" w:type="dxa"/>
            <w:vAlign w:val="top"/>
          </w:tcPr>
          <w:p>
            <w:pPr>
              <w:keepNext w:val="0"/>
              <w:keepLines w:val="0"/>
              <w:pageBreakBefore w:val="0"/>
              <w:widowControl w:val="0"/>
              <w:tabs>
                <w:tab w:val="left" w:pos="851"/>
                <w:tab w:val="left" w:pos="4820"/>
                <w:tab w:val="left" w:pos="7797"/>
              </w:tabs>
              <w:kinsoku/>
              <w:overflowPunct/>
              <w:topLinePunct w:val="0"/>
              <w:autoSpaceDE/>
              <w:autoSpaceDN/>
              <w:bidi w:val="0"/>
              <w:adjustRightInd w:val="0"/>
              <w:snapToGrid w:val="0"/>
              <w:spacing w:line="340" w:lineRule="exact"/>
              <w:jc w:val="center"/>
              <w:textAlignment w:val="auto"/>
              <w:rPr>
                <w:b/>
                <w:sz w:val="32"/>
                <w:szCs w:val="32"/>
              </w:rPr>
            </w:pPr>
          </w:p>
          <w:p>
            <w:pPr>
              <w:keepNext w:val="0"/>
              <w:keepLines w:val="0"/>
              <w:pageBreakBefore w:val="0"/>
              <w:widowControl w:val="0"/>
              <w:tabs>
                <w:tab w:val="left" w:pos="851"/>
                <w:tab w:val="left" w:pos="4820"/>
                <w:tab w:val="left" w:pos="7797"/>
              </w:tabs>
              <w:kinsoku/>
              <w:overflowPunct/>
              <w:topLinePunct w:val="0"/>
              <w:autoSpaceDE/>
              <w:autoSpaceDN/>
              <w:bidi w:val="0"/>
              <w:adjustRightInd w:val="0"/>
              <w:snapToGrid w:val="0"/>
              <w:spacing w:line="340" w:lineRule="exact"/>
              <w:jc w:val="center"/>
              <w:textAlignment w:val="auto"/>
              <w:rPr>
                <w:b/>
                <w:sz w:val="32"/>
                <w:szCs w:val="32"/>
              </w:rPr>
            </w:pPr>
          </w:p>
        </w:tc>
      </w:tr>
    </w:tbl>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政协</w:t>
      </w:r>
      <w:r>
        <w:rPr>
          <w:rFonts w:hint="eastAsia" w:ascii="方正小标宋简体" w:hAnsi="方正小标宋简体" w:eastAsia="方正小标宋简体" w:cs="方正小标宋简体"/>
          <w:sz w:val="44"/>
          <w:szCs w:val="44"/>
          <w:lang w:eastAsia="zh-CN"/>
        </w:rPr>
        <w:t>十五</w:t>
      </w:r>
      <w:r>
        <w:rPr>
          <w:rFonts w:hint="eastAsia" w:ascii="方正小标宋简体" w:hAnsi="方正小标宋简体" w:eastAsia="方正小标宋简体" w:cs="方正小标宋简体"/>
          <w:sz w:val="44"/>
          <w:szCs w:val="44"/>
        </w:rPr>
        <w:t>届</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次会议</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第15</w:t>
      </w:r>
      <w:r>
        <w:rPr>
          <w:rFonts w:hint="eastAsia" w:ascii="方正小标宋简体" w:hAnsi="方正小标宋简体" w:eastAsia="方正小标宋简体" w:cs="方正小标宋简体"/>
          <w:sz w:val="44"/>
          <w:szCs w:val="44"/>
          <w:lang w:val="en-US" w:eastAsia="zh-CN"/>
        </w:rPr>
        <w:t>3089</w:t>
      </w:r>
      <w:r>
        <w:rPr>
          <w:rFonts w:hint="eastAsia" w:ascii="方正小标宋简体" w:hAnsi="方正小标宋简体" w:eastAsia="方正小标宋简体" w:cs="方正小标宋简体"/>
          <w:sz w:val="44"/>
          <w:szCs w:val="44"/>
        </w:rPr>
        <w:t>号提案的</w:t>
      </w:r>
      <w:r>
        <w:rPr>
          <w:rFonts w:hint="eastAsia" w:ascii="方正小标宋简体" w:hAnsi="方正小标宋简体" w:eastAsia="方正小标宋简体" w:cs="方正小标宋简体"/>
          <w:sz w:val="44"/>
          <w:szCs w:val="44"/>
          <w:lang w:eastAsia="zh-CN"/>
        </w:rPr>
        <w:t>主办意见</w:t>
      </w:r>
    </w:p>
    <w:p>
      <w:pPr>
        <w:pStyle w:val="6"/>
        <w:keepNext w:val="0"/>
        <w:keepLines w:val="0"/>
        <w:pageBreakBefore w:val="0"/>
        <w:widowControl w:val="0"/>
        <w:kinsoku/>
        <w:wordWrap/>
        <w:overflowPunct/>
        <w:topLinePunct w:val="0"/>
        <w:autoSpaceDE/>
        <w:autoSpaceDN/>
        <w:bidi w:val="0"/>
        <w:spacing w:line="560" w:lineRule="exact"/>
        <w:textAlignment w:val="auto"/>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杨欣然委员、吴振东委员</w:t>
      </w:r>
      <w:r>
        <w:rPr>
          <w:rFonts w:hint="eastAsia" w:ascii="方正仿宋_GB2312" w:hAnsi="方正仿宋_GB2312" w:eastAsia="方正仿宋_GB2312" w:cs="方正仿宋_GB2312"/>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您提出的《关于进一步加强基层共青团组织建设推动青年参与社区治理的提案》已收悉，经研究，现将办理情况答复如下：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本区青年参与社区治理工作情况</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近年来，普陀团区委持续巩固深化习近平新时代中国特色社会主义思想主题教育成果，贯彻落实习近平总书记考察上海重要讲话精神，聚焦主责主业，在区委组织部的指导下完善党建带团建制度机制，推动基层团建高质量发展，支持青年参与社区治理。</w:t>
      </w:r>
    </w:p>
    <w:p>
      <w:pPr>
        <w:pStyle w:val="6"/>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sz w:val="32"/>
          <w:szCs w:val="32"/>
          <w:lang w:val="en-US" w:eastAsia="zh-CN"/>
        </w:rPr>
        <w:sectPr>
          <w:headerReference r:id="rId3" w:type="first"/>
          <w:footerReference r:id="rId5" w:type="first"/>
          <w:footerReference r:id="rId4" w:type="default"/>
          <w:pgSz w:w="11906" w:h="16838"/>
          <w:pgMar w:top="2154" w:right="1531" w:bottom="1984" w:left="1587" w:header="851" w:footer="992" w:gutter="0"/>
          <w:pgNumType w:fmt="decimal"/>
          <w:cols w:space="425" w:num="1"/>
          <w:titlePg/>
          <w:docGrid w:type="lines" w:linePitch="312" w:charSpace="0"/>
        </w:sectPr>
      </w:pPr>
      <w:r>
        <w:rPr>
          <w:rFonts w:hint="eastAsia" w:ascii="楷体" w:hAnsi="楷体" w:eastAsia="楷体" w:cs="楷体"/>
          <w:sz w:val="32"/>
          <w:szCs w:val="32"/>
          <w:highlight w:val="none"/>
          <w:lang w:val="en-US" w:eastAsia="zh-CN"/>
        </w:rPr>
        <w:t>强化青年群体</w:t>
      </w:r>
      <w:r>
        <w:rPr>
          <w:rFonts w:hint="eastAsia" w:ascii="楷体" w:hAnsi="楷体" w:eastAsia="楷体" w:cs="楷体"/>
          <w:sz w:val="32"/>
          <w:szCs w:val="32"/>
          <w:lang w:val="en-US" w:eastAsia="zh-CN"/>
        </w:rPr>
        <w:t>思想引领，纵横联动推进主题教育走</w:t>
      </w:r>
    </w:p>
    <w:p>
      <w:pPr>
        <w:pStyle w:val="6"/>
        <w:keepNext w:val="0"/>
        <w:keepLines w:val="0"/>
        <w:pageBreakBefore w:val="0"/>
        <w:widowControl w:val="0"/>
        <w:numPr>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sz w:val="32"/>
          <w:szCs w:val="32"/>
          <w:lang w:val="en-US" w:eastAsia="zh-CN"/>
        </w:rPr>
      </w:pPr>
      <w:bookmarkStart w:id="0" w:name="_GoBack"/>
      <w:bookmarkEnd w:id="0"/>
      <w:r>
        <w:rPr>
          <w:rFonts w:hint="eastAsia" w:ascii="楷体" w:hAnsi="楷体" w:eastAsia="楷体" w:cs="楷体"/>
          <w:sz w:val="32"/>
          <w:szCs w:val="32"/>
          <w:lang w:val="en-US" w:eastAsia="zh-CN"/>
        </w:rPr>
        <w:t>深走实</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2023年，普陀团区委深入学习贯彻习近平总书记关于青年工作的重要思想，完善和落实党建带团建制度机制，持续推动团员和青年主题教育走深走实、见行见效。共组织化指导动员2119个基层团支部开展4项专题学习8476次，举办“学习二十大、永远跟党走、奋进新征程”主题征文演讲比赛，推出四期“青声说@普陀”靠谱青年论坛和《徜徉半马苏河·感悟二十大精神》等15集系列思想引领产品，不断夯实“青春普陀”网络宣传阵地。2023年全区新建68个特色青年理论学习小组，以“支部学习六步法”开展读书活动420场；围绕党的理论青年化阐释开展系列行动，用好“领学人”机制；动员79名“靠谱青年讲师团”成员深入校区、园区、社区、团支部等开展理论宣讲380余次；党政机关、事业单位、街道（镇）、学校各单位团组织书记累计深入各团支部参与学习245次，调研基层点位62个，带回优秀案例80余份，发现问题11类，收集解决办法12条。持续推动“国旗下成长”等品牌迭代升级，充分发挥共青团在青少年政治引领中的重要作用。</w:t>
      </w:r>
    </w:p>
    <w:p>
      <w:pPr>
        <w:pStyle w:val="6"/>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完善居村团组织建设，汇聚青年力量推动基层组织阵地共建互享</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始终立足联系青年政治责任，统筹推进团的基层组织覆盖。依托“智慧团建”系统，完善团员数据库建设，优化街镇团的组织架构，夯实少先队社会化工作体系，扩大“两企三新”领域组织覆盖。推动符合独立建团条件的居村实现团组织应建尽建，上下联动有效整合党团组织资源。深化“青春社区”建设，持续巩固“第二梯队”力量。重点聚焦10个“青春社区”打造，建立互动式网络社群，居村团组织建设能力显著提升。开展特色活动激活社区青年才智，吸引青年党团员“双报到”“双报告”，由点及面推进社区青年“志愿队”向主动参与基层社区治理“生力军”转化。</w:t>
      </w:r>
    </w:p>
    <w:p>
      <w:pPr>
        <w:pStyle w:val="6"/>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擦亮“号队手岗”品牌，聚力建功赋能青年成长成才</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坚持“号队手岗”常态化创建，切实发挥青年榜样引领作用。发动1300余名青年参加2023年“奋斗青春 靠谱未来”普陀区青年岗位建功大赛，评出108个优秀集体和岗位能手。比武赛马推报7名优秀青年、2个优秀集体参评市青年五四奖章。拓展</w:t>
      </w:r>
      <w:r>
        <w:rPr>
          <w:rFonts w:hint="default" w:ascii="仿宋_GB2312" w:hAnsi="Courier New" w:eastAsia="仿宋_GB2312" w:cs="Times New Roman"/>
          <w:color w:val="000000"/>
          <w:kern w:val="2"/>
          <w:sz w:val="32"/>
          <w:szCs w:val="32"/>
          <w:lang w:val="en-US" w:eastAsia="zh-CN" w:bidi="ar-SA"/>
        </w:rPr>
        <w:t>服务青年载体，</w:t>
      </w:r>
      <w:r>
        <w:rPr>
          <w:rFonts w:hint="eastAsia" w:ascii="仿宋_GB2312" w:hAnsi="Courier New" w:eastAsia="仿宋_GB2312" w:cs="Times New Roman"/>
          <w:color w:val="000000"/>
          <w:kern w:val="2"/>
          <w:sz w:val="32"/>
          <w:szCs w:val="32"/>
          <w:lang w:val="en-US" w:eastAsia="zh-CN" w:bidi="ar-SA"/>
        </w:rPr>
        <w:t>做好青年成长“主阵地”。与高校携手启动“靠谱校园合伙人365计划”，打造校外实践基地，邀请高校青年参与社区治理。主动参与团市委“九个一”全部系列活动，累计发动落实“我为青年做件事”项目30余次，组织开展“全国青少年模拟政协提案征集”活动，征集提案超200份，制作青年中心资源地图，举办青年中心"读书季"活动52场。通过搭建多样化平台，不断揽蓄优秀青年人才投身社区治理。</w:t>
      </w:r>
    </w:p>
    <w:p>
      <w:pPr>
        <w:pStyle w:val="6"/>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聚焦“</w:t>
      </w:r>
      <w:r>
        <w:rPr>
          <w:rFonts w:hint="eastAsia" w:ascii="楷体" w:hAnsi="楷体" w:eastAsia="楷体" w:cs="楷体"/>
          <w:sz w:val="32"/>
          <w:szCs w:val="32"/>
        </w:rPr>
        <w:t>急难愁盼</w:t>
      </w:r>
      <w:r>
        <w:rPr>
          <w:rFonts w:hint="eastAsia" w:ascii="楷体" w:hAnsi="楷体" w:eastAsia="楷体" w:cs="楷体"/>
          <w:sz w:val="32"/>
          <w:szCs w:val="32"/>
          <w:lang w:val="en-US" w:eastAsia="zh-CN"/>
        </w:rPr>
        <w:t>”工作重点，依托青年服务助力基层社区</w:t>
      </w:r>
      <w:r>
        <w:rPr>
          <w:rFonts w:hint="eastAsia" w:ascii="楷体" w:hAnsi="楷体" w:eastAsia="楷体" w:cs="楷体"/>
          <w:sz w:val="32"/>
          <w:szCs w:val="32"/>
        </w:rPr>
        <w:t>减负增能</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关注新兴领域青年群体在工作、生活、交友等方面的急难愁盼，解决青年“安居难”问题。2020年以来普陀区筹措保障性租赁住房超2.5万套（间），包括1万余套人才公寓；联合桃浦、万里打造骑手“青年驿站”，在党建引领下参与1000张床位“骑手新家”建设，为首批300名选房骑手送上入驻暖心“大礼包”；联合长风街道打造“半马苏河”青年服务阵地旗舰店，举办“两新”青年“相约四季”交友活动；关注困境青少年，完成“追光小屋”改造2户</w:t>
      </w:r>
      <w:r>
        <w:rPr>
          <w:rFonts w:hint="eastAsia" w:ascii="仿宋_GB2312" w:cs="Times New Roman"/>
          <w:color w:val="000000"/>
          <w:kern w:val="2"/>
          <w:sz w:val="32"/>
          <w:szCs w:val="32"/>
          <w:lang w:val="en-US" w:eastAsia="zh-CN" w:bidi="ar-SA"/>
        </w:rPr>
        <w:t>；</w:t>
      </w:r>
      <w:r>
        <w:rPr>
          <w:rFonts w:hint="eastAsia" w:ascii="仿宋_GB2312" w:hAnsi="Courier New" w:eastAsia="仿宋_GB2312" w:cs="Times New Roman"/>
          <w:color w:val="000000"/>
          <w:kern w:val="2"/>
          <w:sz w:val="32"/>
          <w:szCs w:val="32"/>
          <w:lang w:val="en-US" w:eastAsia="zh-CN" w:bidi="ar-SA"/>
        </w:rPr>
        <w:t>聚焦青年关心的创新、就业、安居、健康、婚恋问题联动全区46家青年工作联席会议成员单位制定2024年青年发展型城区建设“五大服务计划”；面向270名困境儿童开展“点亮心愿”等冬日关爱行动。打好减负赋能“组合拳”。</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仿宋"/>
          <w:szCs w:val="32"/>
          <w:lang w:eastAsia="zh-CN"/>
        </w:rPr>
      </w:pPr>
      <w:r>
        <w:rPr>
          <w:rFonts w:hint="eastAsia" w:ascii="黑体" w:hAnsi="黑体" w:eastAsia="黑体" w:cs="仿宋"/>
          <w:szCs w:val="32"/>
          <w:lang w:val="en-US" w:eastAsia="zh-CN"/>
        </w:rPr>
        <w:t>二、</w:t>
      </w:r>
      <w:r>
        <w:rPr>
          <w:rFonts w:hint="eastAsia" w:ascii="黑体" w:hAnsi="黑体" w:eastAsia="黑体" w:cs="仿宋"/>
          <w:szCs w:val="32"/>
          <w:lang w:eastAsia="zh-CN"/>
        </w:rPr>
        <w:t>下阶段工作安排</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根据您提出的“建议加强基层团组织建设的‘资源整合路径’，探索品牌化道路，进一步获得‘内外双循环’的资源支撑，鼓励更多人参与社区事务”的建议，团区委将携手各相关单位从以下角度深入开展基层团组织建设工作，从吸引青年参与、丰富青年行动、深耕青年服务、汇聚青年力量等多维度出发，团结、凝聚、引领广大青少年主动成为社区发展的排头兵、生力军。</w:t>
      </w:r>
    </w:p>
    <w:p>
      <w:pPr>
        <w:pStyle w:val="6"/>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立足团建基础，</w:t>
      </w:r>
      <w:r>
        <w:rPr>
          <w:rFonts w:hint="eastAsia" w:ascii="楷体" w:hAnsi="楷体" w:eastAsia="楷体" w:cs="楷体"/>
          <w:b w:val="0"/>
          <w:bCs/>
          <w:kern w:val="2"/>
          <w:sz w:val="32"/>
          <w:szCs w:val="32"/>
          <w:lang w:val="en-US" w:eastAsia="zh-CN" w:bidi="ar-SA"/>
        </w:rPr>
        <w:t>健全保障机制</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研究制定《关于加强新时代上海市普陀区基层党建带团建工作 凝聚青年助力普陀高质量发展的实施方案》，着力推动团组织全面覆盖，主动延伸服务触角，通过“三个一批”打通覆盖路径，即：与部门联手，“组织联络一批”；建设青年中心、青春社区，“阵地凝聚一批”；打造互联网创意青年联盟，“创新吸纳一批”，打通“联系—服务—凝聚—引领青年”的完整闭环，实现“青年在哪里、共青团就到哪里”。按照属地服务覆盖、行业部门补缺的方式，对17类新兴领域青年开展企业、园区、楼宇、社区集中建团行动，贯彻落实组织部新兴领域“360全覆盖”集中攻坚行动要求。依据不同社区特点，计划重点围绕“凝聚”“志愿”“成长”等关键词，通过“阵地+服务+共治”，广泛吸纳社区流动团员、沿街商户团员和社会组织团员等到社区报到，进一步夯实基层团组织建设。</w:t>
      </w:r>
    </w:p>
    <w:p>
      <w:pPr>
        <w:pStyle w:val="6"/>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立足实践育人，助力能力提升</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遴选各行各业优秀人才，构建政治吸纳“蓄水池”，做好新时代人才的思想引领。启动青春助企服务团2.0成员招募，培育青年招商骨干和服务经济骨干力量，打造“青春助企服务团”靠谱服务品牌。深化互联网创意青年联盟建设，挖掘更多优秀青年争当靠谱青春代言人，打造更多体现青年特色、彰显普陀特点的标志性团建品牌。提升武宁创新共同体青年建功联盟效用能级，更好发挥共青团在政企学研联动发展中的作用。对接服务“五个中心”建设和发展新质生产力，持续开展青年岗位建功活动，引领全区广大青年立足岗位、创先争优，为普陀高质量发展创造新业绩、交出新答卷。</w:t>
      </w:r>
    </w:p>
    <w:p>
      <w:pPr>
        <w:pStyle w:val="6"/>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立足社区实际，优化</w:t>
      </w:r>
      <w:r>
        <w:rPr>
          <w:rFonts w:hint="default" w:ascii="楷体" w:hAnsi="楷体" w:eastAsia="楷体" w:cs="楷体"/>
          <w:b w:val="0"/>
          <w:bCs/>
          <w:kern w:val="2"/>
          <w:sz w:val="32"/>
          <w:szCs w:val="32"/>
          <w:lang w:val="en-US" w:eastAsia="zh-CN" w:bidi="ar-SA"/>
        </w:rPr>
        <w:t>青年</w:t>
      </w:r>
      <w:r>
        <w:rPr>
          <w:rFonts w:hint="eastAsia" w:ascii="楷体" w:hAnsi="楷体" w:eastAsia="楷体" w:cs="楷体"/>
          <w:b w:val="0"/>
          <w:bCs/>
          <w:kern w:val="2"/>
          <w:sz w:val="32"/>
          <w:szCs w:val="32"/>
          <w:lang w:val="en-US" w:eastAsia="zh-CN" w:bidi="ar-SA"/>
        </w:rPr>
        <w:t>服务赋能</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加强青年中心“组织规范化、管理制度化、形象标准化、资源</w:t>
      </w:r>
      <w:r>
        <w:rPr>
          <w:rFonts w:hint="eastAsia" w:ascii="仿宋_GB2312" w:hAnsi="Courier New" w:eastAsia="仿宋_GB2312" w:cs="Times New Roman"/>
          <w:color w:val="000000"/>
          <w:kern w:val="2"/>
          <w:sz w:val="32"/>
          <w:szCs w:val="32"/>
          <w:lang w:val="en-US" w:eastAsia="zh-Hans" w:bidi="ar-SA"/>
        </w:rPr>
        <w:t>社会</w:t>
      </w:r>
      <w:r>
        <w:rPr>
          <w:rFonts w:hint="eastAsia" w:ascii="仿宋_GB2312" w:hAnsi="Courier New" w:eastAsia="仿宋_GB2312" w:cs="Times New Roman"/>
          <w:color w:val="000000"/>
          <w:kern w:val="2"/>
          <w:sz w:val="32"/>
          <w:szCs w:val="32"/>
          <w:lang w:val="en-US" w:eastAsia="zh-CN" w:bidi="ar-SA"/>
        </w:rPr>
        <w:t>化”建设，构建矩阵式阵地网络。导入</w:t>
      </w:r>
      <w:r>
        <w:rPr>
          <w:rFonts w:hint="eastAsia" w:ascii="仿宋_GB2312" w:hAnsi="Courier New" w:eastAsia="仿宋_GB2312" w:cs="Times New Roman"/>
          <w:color w:val="000000"/>
          <w:kern w:val="2"/>
          <w:sz w:val="32"/>
          <w:szCs w:val="32"/>
          <w:lang w:val="en-US" w:eastAsia="zh-Hans" w:bidi="ar-SA"/>
        </w:rPr>
        <w:t>社会组织</w:t>
      </w:r>
      <w:r>
        <w:rPr>
          <w:rFonts w:hint="default" w:ascii="仿宋_GB2312" w:hAnsi="Courier New" w:eastAsia="仿宋_GB2312" w:cs="Times New Roman"/>
          <w:color w:val="000000"/>
          <w:kern w:val="2"/>
          <w:sz w:val="32"/>
          <w:szCs w:val="32"/>
          <w:lang w:val="en-US" w:eastAsia="zh-Hans" w:bidi="ar-SA"/>
        </w:rPr>
        <w:t>、</w:t>
      </w:r>
      <w:r>
        <w:rPr>
          <w:rFonts w:hint="eastAsia" w:ascii="仿宋_GB2312" w:hAnsi="Courier New" w:eastAsia="仿宋_GB2312" w:cs="Times New Roman"/>
          <w:color w:val="000000"/>
          <w:kern w:val="2"/>
          <w:sz w:val="32"/>
          <w:szCs w:val="32"/>
          <w:lang w:val="en-US" w:eastAsia="zh-Hans" w:bidi="ar-SA"/>
        </w:rPr>
        <w:t>青联</w:t>
      </w:r>
      <w:r>
        <w:rPr>
          <w:rFonts w:hint="default" w:ascii="仿宋_GB2312" w:hAnsi="Courier New" w:eastAsia="仿宋_GB2312" w:cs="Times New Roman"/>
          <w:color w:val="000000"/>
          <w:kern w:val="2"/>
          <w:sz w:val="32"/>
          <w:szCs w:val="32"/>
          <w:lang w:val="en-US" w:eastAsia="zh-Hans" w:bidi="ar-SA"/>
        </w:rPr>
        <w:t>、</w:t>
      </w:r>
      <w:r>
        <w:rPr>
          <w:rFonts w:hint="eastAsia" w:ascii="仿宋_GB2312" w:hAnsi="Courier New" w:eastAsia="仿宋_GB2312" w:cs="Times New Roman"/>
          <w:color w:val="000000"/>
          <w:kern w:val="2"/>
          <w:sz w:val="32"/>
          <w:szCs w:val="32"/>
          <w:lang w:val="en-US" w:eastAsia="zh-Hans" w:bidi="ar-SA"/>
        </w:rPr>
        <w:t>青志协</w:t>
      </w:r>
      <w:r>
        <w:rPr>
          <w:rFonts w:hint="default" w:ascii="仿宋_GB2312" w:hAnsi="Courier New" w:eastAsia="仿宋_GB2312" w:cs="Times New Roman"/>
          <w:color w:val="000000"/>
          <w:kern w:val="2"/>
          <w:sz w:val="32"/>
          <w:szCs w:val="32"/>
          <w:lang w:val="en-US" w:eastAsia="zh-Hans" w:bidi="ar-SA"/>
        </w:rPr>
        <w:t>、</w:t>
      </w:r>
      <w:r>
        <w:rPr>
          <w:rFonts w:hint="eastAsia" w:ascii="仿宋_GB2312" w:hAnsi="Courier New" w:eastAsia="仿宋_GB2312" w:cs="Times New Roman"/>
          <w:color w:val="000000"/>
          <w:kern w:val="2"/>
          <w:sz w:val="32"/>
          <w:szCs w:val="32"/>
          <w:lang w:val="en-US" w:eastAsia="zh-Hans" w:bidi="ar-SA"/>
        </w:rPr>
        <w:t>区域化团建单位等多方</w:t>
      </w:r>
      <w:r>
        <w:rPr>
          <w:rFonts w:hint="eastAsia" w:ascii="仿宋_GB2312" w:hAnsi="Courier New" w:eastAsia="仿宋_GB2312" w:cs="Times New Roman"/>
          <w:color w:val="000000"/>
          <w:kern w:val="2"/>
          <w:sz w:val="32"/>
          <w:szCs w:val="32"/>
          <w:lang w:val="en-US" w:eastAsia="zh-CN" w:bidi="ar-SA"/>
        </w:rPr>
        <w:t>资源，设计青年喜闻乐见的团属文化产品和活动项目。试点开办青年夜校，重点打造中远两湾城、中岚居、“半马苏河”、天地软件园、创享塔等一批青年友好街区、园区、社区，持续提升社区青年归属感。携手石泉街道、西部集团在中岚居打造功能齐全的青年中心，组建“物业管理团队+驻地社会组织+社区青年”构成的“青立方”功能型团组织，建立“岚青汇智”议事厅，探索青年发展型社区中大型租赁房功能型团支部的“普陀模式”。实施“青年友好行动”，聚焦青年创新、就业、安居、健康、婚恋等问题，大力实施“五大服务计划”——办好小学生爱心暑（寒）托班、“追光小屋”等实事项目，深耕“团团暖‘新’”品牌建设，强化“靠谱青年加油E站”阵地建设，启动“社区侠”项目，提升青年获得感。</w:t>
      </w:r>
    </w:p>
    <w:p>
      <w:pPr>
        <w:pStyle w:val="6"/>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b w:val="0"/>
          <w:bCs/>
          <w:kern w:val="2"/>
          <w:sz w:val="32"/>
          <w:szCs w:val="32"/>
          <w:lang w:val="en-US" w:eastAsia="zh-CN" w:bidi="ar-SA"/>
        </w:rPr>
        <w:t>立足现实需求，引领青年参与基层治理</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ourier New" w:eastAsia="仿宋_GB2312" w:cs="Times New Roman"/>
          <w:color w:val="000000"/>
          <w:kern w:val="2"/>
          <w:sz w:val="32"/>
          <w:szCs w:val="32"/>
          <w:lang w:val="en-US" w:eastAsia="zh-CN" w:bidi="ar-SA"/>
        </w:rPr>
      </w:pPr>
      <w:r>
        <w:rPr>
          <w:rFonts w:hint="eastAsia" w:ascii="仿宋_GB2312" w:hAnsi="Courier New" w:eastAsia="仿宋_GB2312" w:cs="Times New Roman"/>
          <w:color w:val="000000"/>
          <w:kern w:val="2"/>
          <w:sz w:val="32"/>
          <w:szCs w:val="32"/>
          <w:lang w:val="en-US" w:eastAsia="zh-CN" w:bidi="ar-SA"/>
        </w:rPr>
        <w:t>持续擦亮“青春社区 第二梯队”社区治理品牌，举办2024年青春社区治理创新大赛，广泛招募靠谱社区合伙人，深化青年议事厅建设，聚焦年轻人关心的治理话题，广泛调动社区团组织、青年社会组织、社区青年达人等力量参与“同心家园”建设，打造一批居村青年阵地，培育一批居村团青骨干，创设一批基层组织形态样板，切实推动更多青年力量参与社区治理。积极开展大学生社会实践和就业见习行动，与沪上13所高校、青岛2所高校携手启动“靠谱校园合伙人365计划”，打造校外实践基地，面向有意愿在普陀发展、工作的优秀学生提供岗位实践机会。目前已有98名大学生走进普陀街镇、社区、机关和企业，为区域高质量发展凝聚了一批面向未来的青春力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napToGrid w:val="0"/>
          <w:kern w:val="0"/>
          <w:sz w:val="32"/>
          <w:szCs w:val="32"/>
          <w:lang w:val="en-US" w:eastAsia="zh-CN"/>
        </w:rPr>
      </w:pPr>
      <w:r>
        <w:rPr>
          <w:rFonts w:hint="eastAsia" w:ascii="仿宋_GB2312" w:hAnsi="Courier New" w:eastAsia="仿宋_GB2312" w:cs="Times New Roman"/>
          <w:color w:val="000000"/>
          <w:kern w:val="2"/>
          <w:sz w:val="32"/>
          <w:szCs w:val="32"/>
          <w:lang w:val="en-US" w:eastAsia="zh-CN" w:bidi="ar-SA"/>
        </w:rPr>
        <w:t>普陀团区委将以“党建带团建”为牵引，坚持问题导向，搭建资源共享平台，</w:t>
      </w:r>
      <w:r>
        <w:rPr>
          <w:rFonts w:hint="eastAsia" w:ascii="仿宋" w:hAnsi="仿宋" w:eastAsia="仿宋" w:cs="仿宋"/>
          <w:snapToGrid w:val="0"/>
          <w:kern w:val="0"/>
          <w:sz w:val="32"/>
          <w:szCs w:val="32"/>
          <w:lang w:val="en-US" w:eastAsia="zh-CN"/>
        </w:rPr>
        <w:t>结合区委区政府中心工作任务和青年圈层化兴趣需求，以社区作为团员青年受教育、长才干、作贡献的主战场，搭建团员青年有效参与基层治理的实践平台，促进团员青年与社区的双向服务、双向奔赴、双向赋能。</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napToGrid w:val="0"/>
          <w:kern w:val="0"/>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jc w:val="right"/>
        <w:textAlignment w:val="auto"/>
        <w:rPr>
          <w:rFonts w:hint="default" w:ascii="仿宋" w:hAnsi="仿宋" w:eastAsia="仿宋" w:cs="仿宋_GB2312"/>
          <w:szCs w:val="32"/>
          <w:lang w:val="en-US"/>
        </w:rPr>
      </w:pPr>
      <w:r>
        <w:rPr>
          <w:rFonts w:hint="eastAsia" w:ascii="仿宋" w:hAnsi="仿宋" w:eastAsia="仿宋"/>
          <w:szCs w:val="32"/>
          <w:lang w:eastAsia="zh-CN"/>
        </w:rPr>
        <w:t xml:space="preserve"> </w:t>
      </w:r>
      <w:r>
        <w:rPr>
          <w:rFonts w:hint="eastAsia" w:ascii="仿宋" w:hAnsi="仿宋" w:eastAsia="仿宋" w:cs="仿宋_GB2312"/>
          <w:szCs w:val="32"/>
          <w:lang w:eastAsia="zh-CN"/>
        </w:rPr>
        <w:t>共青团上海市普陀区委员会</w:t>
      </w:r>
      <w:r>
        <w:rPr>
          <w:rFonts w:hint="eastAsia" w:ascii="仿宋" w:hAnsi="仿宋" w:eastAsia="仿宋"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_GB2312"/>
          <w:szCs w:val="32"/>
        </w:rPr>
      </w:pPr>
      <w:r>
        <w:rPr>
          <w:rFonts w:hint="eastAsia" w:ascii="仿宋" w:hAnsi="仿宋" w:eastAsia="仿宋" w:cs="仿宋_GB2312"/>
          <w:szCs w:val="32"/>
        </w:rPr>
        <w:t xml:space="preserve">                         </w:t>
      </w:r>
      <w:r>
        <w:rPr>
          <w:rFonts w:hint="eastAsia" w:ascii="仿宋" w:hAnsi="仿宋" w:eastAsia="仿宋" w:cs="仿宋_GB2312"/>
          <w:szCs w:val="32"/>
          <w:lang w:val="en-US" w:eastAsia="zh-CN"/>
        </w:rPr>
        <w:t xml:space="preserve">   </w:t>
      </w:r>
      <w:r>
        <w:rPr>
          <w:rFonts w:hint="eastAsia" w:ascii="仿宋" w:hAnsi="仿宋" w:eastAsia="仿宋" w:cs="仿宋_GB2312"/>
          <w:szCs w:val="32"/>
        </w:rPr>
        <w:t xml:space="preserve"> </w:t>
      </w:r>
      <w:r>
        <w:rPr>
          <w:rFonts w:hint="eastAsia" w:ascii="仿宋" w:hAnsi="仿宋" w:eastAsia="仿宋" w:cs="仿宋_GB2312"/>
          <w:szCs w:val="32"/>
          <w:lang w:eastAsia="zh-CN"/>
        </w:rPr>
        <w:t>202</w:t>
      </w:r>
      <w:r>
        <w:rPr>
          <w:rFonts w:hint="eastAsia" w:ascii="仿宋" w:hAnsi="仿宋" w:eastAsia="仿宋" w:cs="仿宋_GB2312"/>
          <w:szCs w:val="32"/>
          <w:lang w:val="en-US" w:eastAsia="zh-CN"/>
        </w:rPr>
        <w:t>4</w:t>
      </w:r>
      <w:r>
        <w:rPr>
          <w:rFonts w:hint="eastAsia" w:ascii="仿宋" w:hAnsi="仿宋" w:eastAsia="仿宋" w:cs="仿宋_GB2312"/>
          <w:szCs w:val="32"/>
        </w:rPr>
        <w:t>年</w:t>
      </w:r>
      <w:r>
        <w:rPr>
          <w:rFonts w:ascii="仿宋" w:hAnsi="仿宋" w:eastAsia="仿宋" w:cs="仿宋_GB2312"/>
          <w:szCs w:val="32"/>
          <w:lang w:eastAsia="zh-CN"/>
        </w:rPr>
        <w:t>5</w:t>
      </w:r>
      <w:r>
        <w:rPr>
          <w:rFonts w:hint="eastAsia" w:ascii="仿宋" w:hAnsi="仿宋" w:eastAsia="仿宋" w:cs="仿宋_GB2312"/>
          <w:szCs w:val="32"/>
        </w:rPr>
        <w:t>月</w:t>
      </w:r>
      <w:r>
        <w:rPr>
          <w:rFonts w:hint="eastAsia" w:ascii="仿宋" w:hAnsi="仿宋" w:eastAsia="仿宋" w:cs="仿宋_GB2312"/>
          <w:szCs w:val="32"/>
          <w:lang w:val="en-US" w:eastAsia="zh-CN"/>
        </w:rPr>
        <w:t>14</w:t>
      </w:r>
      <w:r>
        <w:rPr>
          <w:rFonts w:hint="eastAsia" w:ascii="仿宋" w:hAnsi="仿宋" w:eastAsia="仿宋" w:cs="仿宋_GB2312"/>
          <w:szCs w:val="32"/>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_GB231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default" w:ascii="仿宋" w:hAnsi="仿宋" w:eastAsia="仿宋" w:cs="仿宋_GB2312"/>
          <w:szCs w:val="32"/>
          <w:lang w:val="en-US"/>
        </w:rPr>
      </w:pPr>
      <w:r>
        <w:rPr>
          <w:rFonts w:hint="eastAsia" w:ascii="仿宋" w:hAnsi="仿宋" w:eastAsia="仿宋" w:cs="仿宋_GB2312"/>
          <w:szCs w:val="32"/>
        </w:rPr>
        <w:t>联系人：</w:t>
      </w:r>
      <w:r>
        <w:rPr>
          <w:rFonts w:hint="eastAsia" w:ascii="仿宋" w:hAnsi="仿宋" w:eastAsia="仿宋" w:cs="仿宋_GB2312"/>
          <w:szCs w:val="32"/>
          <w:lang w:eastAsia="zh-CN"/>
        </w:rPr>
        <w:t>戴伟律</w:t>
      </w:r>
      <w:r>
        <w:rPr>
          <w:rFonts w:hint="eastAsia" w:ascii="仿宋" w:hAnsi="仿宋" w:eastAsia="仿宋" w:cs="仿宋_GB2312"/>
          <w:szCs w:val="32"/>
        </w:rPr>
        <w:t xml:space="preserve">       </w:t>
      </w:r>
      <w:r>
        <w:rPr>
          <w:rFonts w:hint="eastAsia" w:ascii="仿宋" w:hAnsi="仿宋" w:eastAsia="仿宋" w:cs="仿宋_GB2312"/>
          <w:szCs w:val="32"/>
          <w:lang w:val="en-US" w:eastAsia="zh-CN"/>
        </w:rPr>
        <w:t xml:space="preserve">     </w:t>
      </w:r>
      <w:r>
        <w:rPr>
          <w:rFonts w:hint="eastAsia" w:ascii="仿宋" w:hAnsi="仿宋" w:eastAsia="仿宋" w:cs="仿宋_GB2312"/>
          <w:szCs w:val="32"/>
        </w:rPr>
        <w:t>联系电话：</w:t>
      </w:r>
      <w:r>
        <w:rPr>
          <w:rFonts w:hint="eastAsia" w:ascii="仿宋" w:hAnsi="仿宋" w:eastAsia="仿宋" w:cs="仿宋_GB2312"/>
          <w:szCs w:val="32"/>
          <w:lang w:eastAsia="zh-CN"/>
        </w:rPr>
        <w:t>52564588-85</w:t>
      </w:r>
      <w:r>
        <w:rPr>
          <w:rFonts w:hint="eastAsia" w:ascii="仿宋" w:hAnsi="仿宋" w:eastAsia="仿宋" w:cs="仿宋_GB2312"/>
          <w:szCs w:val="32"/>
          <w:lang w:val="en-US" w:eastAsia="zh-CN"/>
        </w:rPr>
        <w:t>53</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_GB2312"/>
          <w:szCs w:val="32"/>
          <w:lang w:eastAsia="zh-CN"/>
        </w:rPr>
      </w:pPr>
      <w:r>
        <w:rPr>
          <w:rFonts w:hint="eastAsia" w:ascii="仿宋" w:hAnsi="仿宋" w:eastAsia="仿宋" w:cs="仿宋_GB2312"/>
          <w:szCs w:val="32"/>
        </w:rPr>
        <w:t>联系地址：</w:t>
      </w:r>
      <w:r>
        <w:rPr>
          <w:rFonts w:hint="eastAsia" w:ascii="仿宋" w:hAnsi="仿宋" w:eastAsia="仿宋" w:cs="仿宋_GB2312"/>
          <w:szCs w:val="32"/>
          <w:lang w:eastAsia="zh-CN"/>
        </w:rPr>
        <w:t>大渡河路1668号</w:t>
      </w:r>
      <w:r>
        <w:rPr>
          <w:rFonts w:hint="eastAsia" w:ascii="仿宋" w:hAnsi="仿宋" w:eastAsia="仿宋" w:cs="仿宋_GB2312"/>
          <w:szCs w:val="32"/>
        </w:rPr>
        <w:t xml:space="preserve">       </w:t>
      </w:r>
      <w:r>
        <w:rPr>
          <w:rFonts w:ascii="仿宋" w:hAnsi="仿宋" w:eastAsia="仿宋" w:cs="仿宋_GB2312"/>
          <w:szCs w:val="32"/>
        </w:rPr>
        <w:t xml:space="preserve"> </w:t>
      </w:r>
      <w:r>
        <w:rPr>
          <w:rFonts w:hint="eastAsia" w:ascii="仿宋" w:hAnsi="仿宋" w:eastAsia="仿宋" w:cs="仿宋_GB2312"/>
          <w:szCs w:val="32"/>
        </w:rPr>
        <w:t>邮政编码：</w:t>
      </w:r>
      <w:r>
        <w:rPr>
          <w:rFonts w:hint="eastAsia" w:ascii="仿宋" w:hAnsi="仿宋" w:eastAsia="仿宋" w:cs="仿宋_GB2312"/>
          <w:szCs w:val="32"/>
          <w:lang w:eastAsia="zh-CN"/>
        </w:rPr>
        <w:t>200333</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napToGrid w:val="0"/>
          <w:kern w:val="0"/>
          <w:sz w:val="32"/>
          <w:szCs w:val="32"/>
          <w:lang w:val="en-US" w:eastAsia="zh-CN"/>
        </w:rPr>
      </w:pPr>
    </w:p>
    <w:tbl>
      <w:tblPr>
        <w:tblStyle w:val="11"/>
        <w:tblpPr w:leftFromText="180" w:rightFromText="180" w:vertAnchor="text" w:horzAnchor="page" w:tblpX="1667" w:tblpY="1748"/>
        <w:tblW w:w="8863" w:type="dxa"/>
        <w:jc w:val="center"/>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108" w:type="dxa"/>
          <w:bottom w:w="0" w:type="dxa"/>
          <w:right w:w="108" w:type="dxa"/>
        </w:tblCellMar>
      </w:tblPr>
      <w:tblGrid>
        <w:gridCol w:w="8863"/>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8863" w:type="dxa"/>
            <w:tcBorders>
              <w:left w:val="nil"/>
              <w:right w:val="nil"/>
            </w:tcBorders>
            <w:vAlign w:val="bottom"/>
          </w:tcPr>
          <w:p>
            <w:pPr>
              <w:pStyle w:val="6"/>
              <w:keepNext w:val="0"/>
              <w:keepLines w:val="0"/>
              <w:pageBreakBefore w:val="0"/>
              <w:widowControl w:val="0"/>
              <w:kinsoku/>
              <w:wordWrap/>
              <w:overflowPunct/>
              <w:topLinePunct w:val="0"/>
              <w:autoSpaceDE/>
              <w:autoSpaceDN/>
              <w:bidi w:val="0"/>
              <w:adjustRightInd w:val="0"/>
              <w:snapToGrid w:val="0"/>
              <w:spacing w:line="540" w:lineRule="exact"/>
              <w:ind w:right="0" w:rightChars="0"/>
              <w:jc w:val="center"/>
              <w:textAlignment w:val="auto"/>
              <w:outlineLvl w:val="9"/>
              <w:rPr>
                <w:rFonts w:hint="eastAsia" w:ascii="仿宋" w:hAnsi="仿宋" w:eastAsia="仿宋" w:cs="仿宋"/>
                <w:spacing w:val="6"/>
                <w:sz w:val="32"/>
                <w:szCs w:val="32"/>
              </w:rPr>
            </w:pPr>
            <w:r>
              <w:rPr>
                <w:rFonts w:hint="eastAsia" w:ascii="仿宋" w:hAnsi="仿宋" w:eastAsia="仿宋" w:cs="仿宋"/>
                <w:spacing w:val="6"/>
                <w:sz w:val="28"/>
                <w:szCs w:val="28"/>
              </w:rPr>
              <w:t xml:space="preserve">共青团上海市普陀区委办公室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 xml:space="preserve">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20</w:t>
            </w:r>
            <w:r>
              <w:rPr>
                <w:rFonts w:hint="eastAsia" w:ascii="仿宋" w:hAnsi="仿宋" w:eastAsia="仿宋" w:cs="仿宋"/>
                <w:spacing w:val="6"/>
                <w:sz w:val="28"/>
                <w:szCs w:val="28"/>
                <w:lang w:val="en-US" w:eastAsia="zh-CN"/>
              </w:rPr>
              <w:t>24</w:t>
            </w:r>
            <w:r>
              <w:rPr>
                <w:rFonts w:hint="eastAsia" w:ascii="仿宋" w:hAnsi="仿宋" w:eastAsia="仿宋" w:cs="仿宋"/>
                <w:spacing w:val="6"/>
                <w:sz w:val="28"/>
                <w:szCs w:val="28"/>
              </w:rPr>
              <w:t>年</w:t>
            </w:r>
            <w:r>
              <w:rPr>
                <w:rFonts w:hint="eastAsia" w:ascii="仿宋" w:hAnsi="仿宋" w:eastAsia="仿宋" w:cs="仿宋"/>
                <w:spacing w:val="6"/>
                <w:sz w:val="28"/>
                <w:szCs w:val="28"/>
                <w:lang w:val="en-US" w:eastAsia="zh-CN"/>
              </w:rPr>
              <w:t>5</w:t>
            </w:r>
            <w:r>
              <w:rPr>
                <w:rFonts w:hint="eastAsia" w:ascii="仿宋" w:hAnsi="仿宋" w:eastAsia="仿宋" w:cs="仿宋"/>
                <w:spacing w:val="6"/>
                <w:sz w:val="28"/>
                <w:szCs w:val="28"/>
              </w:rPr>
              <w:t>月</w:t>
            </w:r>
            <w:r>
              <w:rPr>
                <w:rFonts w:hint="eastAsia" w:ascii="仿宋" w:hAnsi="仿宋" w:eastAsia="仿宋" w:cs="仿宋"/>
                <w:spacing w:val="6"/>
                <w:sz w:val="28"/>
                <w:szCs w:val="28"/>
                <w:lang w:val="en-US" w:eastAsia="zh-CN"/>
              </w:rPr>
              <w:t>14</w:t>
            </w:r>
            <w:r>
              <w:rPr>
                <w:rFonts w:hint="eastAsia" w:ascii="仿宋" w:hAnsi="仿宋" w:eastAsia="仿宋" w:cs="仿宋"/>
                <w:spacing w:val="6"/>
                <w:sz w:val="28"/>
                <w:szCs w:val="28"/>
              </w:rPr>
              <w:t>日印发</w:t>
            </w:r>
          </w:p>
        </w:tc>
      </w:tr>
    </w:tbl>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snapToGrid w:val="0"/>
          <w:kern w:val="0"/>
          <w:sz w:val="32"/>
          <w:szCs w:val="32"/>
          <w:lang w:val="en-US" w:eastAsia="zh-CN"/>
        </w:rPr>
      </w:pPr>
    </w:p>
    <w:sectPr>
      <w:footerReference r:id="rId7" w:type="first"/>
      <w:footerReference r:id="rId6" w:type="default"/>
      <w:pgSz w:w="11906" w:h="16838"/>
      <w:pgMar w:top="2154" w:right="1531"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Arial Unicode MS">
    <w:altName w:val="Nimbus Roman No9 L"/>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CkqvtnyQIAAOwFAAAOAAAAAAAAAAEAIAAAADUBAABkcnMvZTJvRG9jLnhtbFBL&#10;BQYAAAAABgAGAFkBAABwBg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nvwo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RgKJUgHJbr/8vn+&#10;6/f7b59Q6ujZKDMCq7kCO7u9ktscW71ivcrAdwd8W+vO/QMkBCbA9d2BX7a1iMLHOB2kaQQqCrr+&#10;AiHC43OljX3BZIeckGMNBfS8kvXM2J1pb+KiCVm2nPsicoE2OR6enkX+wUEDzrlwtpAF+NhLu+J8&#10;yKLsOr1OkyAZDK+DJCqKYFJOk2BYxudnxWkxnRbxR+cvTkZNW1VMuHh9o8TJnxVi37K7Eh9axUje&#10;Vs6dS8no5WLKNVoTaNTS/xzDkPwDs/BxGl4NqJ5AigdJdDXIgnKYngdJmZwF2XmUBlGcXWXDKMmS&#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BpnvwoyQIAAOwFAAAOAAAAAAAAAAEAIAAAADUBAABkcnMvZTJvRG9jLnhtbFBL&#10;BQYAAAAABgAGAFkBAABwBg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xM+CT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BxM+CTyQIAAOwFAAAOAAAAAAAAAAEAIAAAADUBAABkcnMvZTJvRG9jLnhtbFBL&#10;BQYAAAAABgAGAFkBAABwBg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580" w:lineRule="exact"/>
      <w:ind w:firstLine="5100" w:firstLineChars="1700"/>
      <w:jc w:val="right"/>
      <w:textAlignment w:val="auto"/>
      <w:rPr>
        <w:rFonts w:hint="eastAsia" w:ascii="仿宋" w:hAnsi="仿宋" w:eastAsia="仿宋" w:cs="仿宋"/>
        <w:sz w:val="30"/>
        <w:szCs w:val="30"/>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100" w:firstLineChars="1700"/>
      <w:jc w:val="righ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办理结果：</w:t>
    </w:r>
    <w:r>
      <w:rPr>
        <w:rFonts w:hint="eastAsia" w:ascii="仿宋" w:hAnsi="仿宋" w:eastAsia="仿宋" w:cs="仿宋"/>
        <w:sz w:val="30"/>
        <w:szCs w:val="30"/>
        <w:highlight w:val="none"/>
        <w:lang w:eastAsia="zh-CN"/>
      </w:rPr>
      <w:t>采纳解决</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pPr>
    <w:r>
      <w:rPr>
        <w:rFonts w:hint="eastAsia" w:ascii="仿宋" w:hAnsi="仿宋" w:eastAsia="仿宋" w:cs="仿宋"/>
        <w:sz w:val="30"/>
        <w:szCs w:val="30"/>
        <w:highlight w:val="none"/>
        <w:lang w:eastAsia="zh-CN"/>
      </w:rPr>
      <w:t xml:space="preserve">                     </w:t>
    </w:r>
    <w:r>
      <w:rPr>
        <w:rFonts w:hint="eastAsia" w:ascii="仿宋" w:hAnsi="仿宋" w:eastAsia="仿宋" w:cs="仿宋"/>
        <w:sz w:val="30"/>
        <w:szCs w:val="30"/>
        <w:highlight w:val="none"/>
      </w:rPr>
      <w:t>公开属性：</w:t>
    </w:r>
    <w:r>
      <w:rPr>
        <w:rFonts w:hint="eastAsia" w:ascii="仿宋" w:hAnsi="仿宋" w:eastAsia="仿宋" w:cs="仿宋"/>
        <w:sz w:val="30"/>
        <w:szCs w:val="30"/>
        <w:highlight w:val="none"/>
        <w:lang w:eastAsia="zh-CN"/>
      </w:rPr>
      <w:t>主动公开·全文</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29751"/>
    <w:multiLevelType w:val="singleLevel"/>
    <w:tmpl w:val="C1F29751"/>
    <w:lvl w:ilvl="0" w:tentative="0">
      <w:start w:val="1"/>
      <w:numFmt w:val="chineseCounting"/>
      <w:suff w:val="nothing"/>
      <w:lvlText w:val="%1、"/>
      <w:lvlJc w:val="left"/>
      <w:pPr>
        <w:ind w:left="0" w:firstLine="420"/>
      </w:pPr>
      <w:rPr>
        <w:rFonts w:hint="eastAsia"/>
      </w:rPr>
    </w:lvl>
  </w:abstractNum>
  <w:abstractNum w:abstractNumId="1">
    <w:nsid w:val="68377D83"/>
    <w:multiLevelType w:val="singleLevel"/>
    <w:tmpl w:val="68377D83"/>
    <w:lvl w:ilvl="0" w:tentative="0">
      <w:start w:val="1"/>
      <w:numFmt w:val="chineseCounting"/>
      <w:suff w:val="nothing"/>
      <w:lvlText w:val="（%1）"/>
      <w:lvlJc w:val="left"/>
      <w:rPr>
        <w:rFonts w:hint="eastAsia"/>
      </w:rPr>
    </w:lvl>
  </w:abstractNum>
  <w:abstractNum w:abstractNumId="2">
    <w:nsid w:val="73A99C58"/>
    <w:multiLevelType w:val="singleLevel"/>
    <w:tmpl w:val="73A99C5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NmJmNmQzNGRmOGRhZWVlODk0OGUyZTZlMzZhMmUifQ=="/>
  </w:docVars>
  <w:rsids>
    <w:rsidRoot w:val="00000000"/>
    <w:rsid w:val="0EF14A15"/>
    <w:rsid w:val="15D6317E"/>
    <w:rsid w:val="1BE05CF3"/>
    <w:rsid w:val="1FB77BEB"/>
    <w:rsid w:val="212C7657"/>
    <w:rsid w:val="237F7C85"/>
    <w:rsid w:val="23FA0986"/>
    <w:rsid w:val="24054E77"/>
    <w:rsid w:val="24BAE3EA"/>
    <w:rsid w:val="25946E58"/>
    <w:rsid w:val="26866B45"/>
    <w:rsid w:val="29345E48"/>
    <w:rsid w:val="294718C6"/>
    <w:rsid w:val="29B24BC0"/>
    <w:rsid w:val="2AD6555A"/>
    <w:rsid w:val="2CE6AA62"/>
    <w:rsid w:val="2D7FD743"/>
    <w:rsid w:val="2F7D42D4"/>
    <w:rsid w:val="323C6422"/>
    <w:rsid w:val="35590908"/>
    <w:rsid w:val="37DEF113"/>
    <w:rsid w:val="3FEC8B31"/>
    <w:rsid w:val="40CB0F7D"/>
    <w:rsid w:val="420946BA"/>
    <w:rsid w:val="43FF204E"/>
    <w:rsid w:val="55DB132D"/>
    <w:rsid w:val="573D34E5"/>
    <w:rsid w:val="57FF2CE0"/>
    <w:rsid w:val="5DB37A97"/>
    <w:rsid w:val="5EBFC429"/>
    <w:rsid w:val="5FF8941D"/>
    <w:rsid w:val="5FFBA210"/>
    <w:rsid w:val="643B31CD"/>
    <w:rsid w:val="659D890A"/>
    <w:rsid w:val="66993DB7"/>
    <w:rsid w:val="67745F88"/>
    <w:rsid w:val="68DD6FBA"/>
    <w:rsid w:val="6B6E0C43"/>
    <w:rsid w:val="6D9817F8"/>
    <w:rsid w:val="6DEFCCBD"/>
    <w:rsid w:val="6DFFB1DA"/>
    <w:rsid w:val="6EDE2119"/>
    <w:rsid w:val="6F1DDBBC"/>
    <w:rsid w:val="6F2B438C"/>
    <w:rsid w:val="6F727DFD"/>
    <w:rsid w:val="6FC33560"/>
    <w:rsid w:val="6FF9E69D"/>
    <w:rsid w:val="6FFDD492"/>
    <w:rsid w:val="6FFF7402"/>
    <w:rsid w:val="73BF938F"/>
    <w:rsid w:val="73BF965E"/>
    <w:rsid w:val="75B03D5C"/>
    <w:rsid w:val="777725F7"/>
    <w:rsid w:val="77D575CC"/>
    <w:rsid w:val="77DF669D"/>
    <w:rsid w:val="79BF8366"/>
    <w:rsid w:val="79FE39EF"/>
    <w:rsid w:val="7B714AEE"/>
    <w:rsid w:val="7DEDBB17"/>
    <w:rsid w:val="7DFF4EFD"/>
    <w:rsid w:val="7EEDD6C5"/>
    <w:rsid w:val="7F7E9EEE"/>
    <w:rsid w:val="7FAD7F1E"/>
    <w:rsid w:val="7FBF257A"/>
    <w:rsid w:val="7FD76EA0"/>
    <w:rsid w:val="7FF3992C"/>
    <w:rsid w:val="7FFDC584"/>
    <w:rsid w:val="7FFFDA79"/>
    <w:rsid w:val="7FFFDE5A"/>
    <w:rsid w:val="87BD9B17"/>
    <w:rsid w:val="9DF79935"/>
    <w:rsid w:val="9EBDED05"/>
    <w:rsid w:val="9F3F640A"/>
    <w:rsid w:val="9F5F184E"/>
    <w:rsid w:val="9FEB5966"/>
    <w:rsid w:val="ACF695A3"/>
    <w:rsid w:val="B69FD9E2"/>
    <w:rsid w:val="B787ACDC"/>
    <w:rsid w:val="B7FFAA0E"/>
    <w:rsid w:val="BBFB2348"/>
    <w:rsid w:val="BD6BF4EE"/>
    <w:rsid w:val="BDEF053E"/>
    <w:rsid w:val="BDFFBAE1"/>
    <w:rsid w:val="BFD7B4C2"/>
    <w:rsid w:val="C3BFB03C"/>
    <w:rsid w:val="C9BA4D39"/>
    <w:rsid w:val="CBE91E10"/>
    <w:rsid w:val="CD9ACD37"/>
    <w:rsid w:val="DBBB0328"/>
    <w:rsid w:val="DD7F41AB"/>
    <w:rsid w:val="DD976BB1"/>
    <w:rsid w:val="DEFF4B8A"/>
    <w:rsid w:val="E4DD811A"/>
    <w:rsid w:val="E65D8AA9"/>
    <w:rsid w:val="EF35C59B"/>
    <w:rsid w:val="EF7B829C"/>
    <w:rsid w:val="EFBF3C55"/>
    <w:rsid w:val="F1F477E1"/>
    <w:rsid w:val="F27B87CA"/>
    <w:rsid w:val="F29D7773"/>
    <w:rsid w:val="F3FF5C9D"/>
    <w:rsid w:val="F3FFF383"/>
    <w:rsid w:val="F5AE87A7"/>
    <w:rsid w:val="F5FC72B3"/>
    <w:rsid w:val="F7D748F5"/>
    <w:rsid w:val="F7FA02BA"/>
    <w:rsid w:val="FB5FE61E"/>
    <w:rsid w:val="FBD44D94"/>
    <w:rsid w:val="FBDFD03B"/>
    <w:rsid w:val="FBE9AD46"/>
    <w:rsid w:val="FDFA40F0"/>
    <w:rsid w:val="FEBFBC00"/>
    <w:rsid w:val="FEF34A0F"/>
    <w:rsid w:val="FEFFE153"/>
    <w:rsid w:val="FF3BA8B9"/>
    <w:rsid w:val="FFBF571A"/>
    <w:rsid w:val="FFEB1C71"/>
    <w:rsid w:val="FFEF24C5"/>
    <w:rsid w:val="FFEFA04C"/>
    <w:rsid w:val="FFFDE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ja-JP"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style>
  <w:style w:type="paragraph" w:styleId="3">
    <w:name w:val="Body Text"/>
    <w:basedOn w:val="1"/>
    <w:unhideWhenUsed/>
    <w:qFormat/>
    <w:uiPriority w:val="99"/>
    <w:pPr>
      <w:spacing w:after="120" w:afterLines="0"/>
    </w:pPr>
  </w:style>
  <w:style w:type="paragraph" w:styleId="5">
    <w:name w:val="Body Text Indent"/>
    <w:basedOn w:val="1"/>
    <w:next w:val="1"/>
    <w:qFormat/>
    <w:uiPriority w:val="0"/>
    <w:pPr>
      <w:spacing w:line="500" w:lineRule="exact"/>
      <w:ind w:firstLine="645"/>
    </w:pPr>
    <w:rPr>
      <w:rFonts w:ascii="仿宋_GB2312" w:hAnsi="华文中宋" w:eastAsia="仿宋_GB2312"/>
      <w:bCs/>
      <w:sz w:val="30"/>
      <w:szCs w:val="52"/>
    </w:rPr>
  </w:style>
  <w:style w:type="paragraph" w:styleId="6">
    <w:name w:val="Plain Text"/>
    <w:basedOn w:val="1"/>
    <w:qFormat/>
    <w:uiPriority w:val="0"/>
    <w:rPr>
      <w:rFonts w:ascii="宋体" w:hAnsi="Courier New" w:eastAsia="仿宋_GB2312" w:cs="宋体"/>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next w:val="10"/>
    <w:qFormat/>
    <w:uiPriority w:val="0"/>
    <w:pPr>
      <w:ind w:firstLine="1840"/>
    </w:pPr>
    <w:rPr>
      <w:rFonts w:ascii="Times New Roman" w:hAnsi="Times New Roman"/>
    </w:rPr>
  </w:style>
  <w:style w:type="paragraph" w:styleId="10">
    <w:name w:val="Body Text First Indent 2"/>
    <w:basedOn w:val="5"/>
    <w:next w:val="1"/>
    <w:unhideWhenUsed/>
    <w:qFormat/>
    <w:uiPriority w:val="99"/>
    <w:pPr>
      <w:ind w:firstLine="420" w:firstLineChars="200"/>
    </w:pPr>
  </w:style>
  <w:style w:type="character" w:styleId="13">
    <w:name w:val="Strong"/>
    <w:basedOn w:val="12"/>
    <w:qFormat/>
    <w:uiPriority w:val="0"/>
    <w:rPr>
      <w:b/>
    </w:rPr>
  </w:style>
  <w:style w:type="paragraph" w:customStyle="1" w:styleId="14">
    <w:name w:val="彩色列表 - 强调文字颜色 11"/>
    <w:qFormat/>
    <w:uiPriority w:val="0"/>
    <w:pPr>
      <w:widowControl w:val="0"/>
      <w:ind w:firstLine="420"/>
      <w:jc w:val="both"/>
    </w:pPr>
    <w:rPr>
      <w:rFonts w:ascii="Arial Unicode MS" w:hAnsi="Calibri"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2024-05-10T07:09:00Z</dcterms:created>
  <dc:creator>12136</dc:creator>
  <cp:lastModifiedBy>user</cp:lastModifiedBy>
  <cp:lastPrinted>2024-05-21T15:54:18Z</cp:lastPrinted>
  <dcterms:modified xsi:type="dcterms:W3CDTF">2024-05-21T15:59:07Z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06DBC055661C4644B9997DB5805B0EFF_12</vt:lpwstr>
  </property>
</Properties>
</file>