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年度上海软件和信息技术服务业“双百”企业奖励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</w:rPr>
              <w:t>□上海软件企业百强  □上海软件企业高成长百家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根据《普陀区支持科技创新实施意见》（普科合规范〔2024〕2号）文件精神，同意给予最高不超过5万元奖励。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丝滑粗圆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丝滑粗圆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6BF54DF9"/>
    <w:rsid w:val="7357B2C8"/>
    <w:rsid w:val="760366F2"/>
    <w:rsid w:val="7FD58B31"/>
    <w:rsid w:val="7FFB165B"/>
    <w:rsid w:val="FDB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Shinnosuke</cp:lastModifiedBy>
  <cp:lastPrinted>2022-10-27T23:16:00Z</cp:lastPrinted>
  <dcterms:modified xsi:type="dcterms:W3CDTF">2025-03-17T09:47:22Z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3C0D2BB8E73407502A7FD76761272A1D_42</vt:lpwstr>
  </property>
</Properties>
</file>