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600" w:lineRule="exact"/>
        <w:ind w:left="0" w:right="0" w:firstLine="0"/>
        <w:jc w:val="center"/>
        <w:textAlignment w:val="auto"/>
        <w:rPr>
          <w:rFonts w:hint="eastAsia" w:ascii="宋体" w:hAnsi="宋体" w:eastAsia="宋体" w:cs="宋体"/>
          <w:b/>
          <w:i w:val="0"/>
          <w:caps w:val="0"/>
          <w:color w:val="auto"/>
          <w:spacing w:val="0"/>
          <w:sz w:val="36"/>
          <w:szCs w:val="36"/>
          <w:shd w:val="clear" w:color="auto" w:fill="auto"/>
          <w:lang w:val="en-US" w:eastAsia="zh-CN"/>
        </w:rPr>
      </w:pPr>
      <w:bookmarkStart w:id="0" w:name="_GoBack"/>
      <w:bookmarkEnd w:id="0"/>
      <w:r>
        <w:rPr>
          <w:rFonts w:hint="eastAsia" w:ascii="宋体" w:hAnsi="宋体" w:eastAsia="宋体" w:cs="宋体"/>
          <w:b/>
          <w:i w:val="0"/>
          <w:caps w:val="0"/>
          <w:color w:val="auto"/>
          <w:spacing w:val="0"/>
          <w:sz w:val="36"/>
          <w:szCs w:val="36"/>
          <w:shd w:val="clear" w:color="auto" w:fill="auto"/>
          <w:lang w:val="en-US" w:eastAsia="zh-CN"/>
        </w:rPr>
        <w:t>上海市普陀区审计局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600" w:lineRule="exact"/>
        <w:ind w:left="0" w:right="0" w:firstLine="0"/>
        <w:jc w:val="center"/>
        <w:textAlignment w:val="auto"/>
        <w:rPr>
          <w:rFonts w:hint="eastAsia" w:ascii="宋体" w:hAnsi="宋体" w:eastAsia="宋体" w:cs="宋体"/>
          <w:b/>
          <w:i w:val="0"/>
          <w:caps w:val="0"/>
          <w:color w:val="auto"/>
          <w:spacing w:val="0"/>
          <w:sz w:val="36"/>
          <w:szCs w:val="36"/>
          <w:shd w:val="clear" w:color="auto" w:fill="auto"/>
          <w:lang w:val="en-US" w:eastAsia="zh-CN"/>
        </w:rPr>
      </w:pPr>
      <w:r>
        <w:rPr>
          <w:rFonts w:hint="eastAsia" w:ascii="宋体" w:hAnsi="宋体" w:eastAsia="宋体" w:cs="宋体"/>
          <w:b/>
          <w:i w:val="0"/>
          <w:caps w:val="0"/>
          <w:color w:val="auto"/>
          <w:spacing w:val="0"/>
          <w:sz w:val="36"/>
          <w:szCs w:val="36"/>
          <w:shd w:val="clear" w:color="auto" w:fill="auto"/>
          <w:lang w:val="en-US" w:eastAsia="zh-CN"/>
        </w:rPr>
        <w:t>2022年政府信息公开工作年度报告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600" w:lineRule="exact"/>
        <w:ind w:left="0" w:right="0" w:firstLine="0"/>
        <w:jc w:val="center"/>
        <w:textAlignment w:val="auto"/>
        <w:rPr>
          <w:rFonts w:hint="eastAsia" w:ascii="宋体" w:hAnsi="宋体" w:eastAsia="宋体" w:cs="宋体"/>
          <w:b/>
          <w:i w:val="0"/>
          <w:caps w:val="0"/>
          <w:color w:val="auto"/>
          <w:spacing w:val="0"/>
          <w:sz w:val="36"/>
          <w:szCs w:val="36"/>
          <w:shd w:val="clear" w:color="auto" w:fill="auto"/>
          <w:lang w:val="en-US" w:eastAsia="zh-CN"/>
        </w:rPr>
      </w:pP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600" w:lineRule="exact"/>
        <w:ind w:left="0" w:right="0" w:firstLine="420"/>
        <w:jc w:val="both"/>
        <w:textAlignment w:val="auto"/>
        <w:rPr>
          <w:rFonts w:hint="eastAsia" w:ascii="宋体" w:hAnsi="宋体" w:eastAsia="宋体" w:cs="宋体"/>
          <w:b/>
          <w:i w:val="0"/>
          <w:caps w:val="0"/>
          <w:color w:val="auto"/>
          <w:spacing w:val="0"/>
          <w:sz w:val="32"/>
          <w:szCs w:val="32"/>
          <w:shd w:val="clear" w:color="auto" w:fill="auto"/>
        </w:rPr>
      </w:pPr>
      <w:r>
        <w:rPr>
          <w:rFonts w:hint="eastAsia" w:ascii="宋体" w:hAnsi="宋体" w:eastAsia="宋体" w:cs="宋体"/>
          <w:b/>
          <w:i w:val="0"/>
          <w:caps w:val="0"/>
          <w:color w:val="auto"/>
          <w:spacing w:val="0"/>
          <w:sz w:val="32"/>
          <w:szCs w:val="32"/>
          <w:shd w:val="clear" w:color="auto" w:fill="auto"/>
        </w:rPr>
        <w:t>总体情况</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left="0" w:leftChars="0" w:right="0" w:rightChars="0" w:firstLine="482"/>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2022年，区审计局紧紧围绕区委和区政府中心工作，高度重视政府信息公开工作，深入贯彻落实《中华人民共和国政府信息公开条例》，同时按照审计署、市审计局的要求，认真贯彻落实区政府办公室2022年政务公开工作部署，进一步增强公开意识，加大主动公开力度，强化依申请公开管理和服务，提升审计监督实效。</w:t>
      </w:r>
      <w:r>
        <w:rPr>
          <w:rFonts w:hint="eastAsia" w:ascii="仿宋_GB2312" w:hAnsi="仿宋_GB2312" w:eastAsia="仿宋_GB2312" w:cs="仿宋_GB2312"/>
          <w:kern w:val="2"/>
          <w:sz w:val="32"/>
          <w:szCs w:val="32"/>
          <w:lang w:val="en-US" w:eastAsia="zh-Hans" w:bidi="ar-SA"/>
        </w:rPr>
        <w:t>现将</w:t>
      </w:r>
      <w:r>
        <w:rPr>
          <w:rFonts w:hint="default" w:ascii="仿宋_GB2312" w:hAnsi="仿宋_GB2312" w:eastAsia="仿宋_GB2312" w:cs="仿宋_GB2312"/>
          <w:kern w:val="2"/>
          <w:sz w:val="32"/>
          <w:szCs w:val="32"/>
          <w:lang w:val="en-US" w:eastAsia="zh-Hans" w:bidi="ar-SA"/>
        </w:rPr>
        <w:t>202</w:t>
      </w: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Hans" w:bidi="ar-SA"/>
        </w:rPr>
        <w:t>年度区审计局信息公开工作报告如下</w:t>
      </w:r>
      <w:r>
        <w:rPr>
          <w:rFonts w:hint="default" w:ascii="仿宋_GB2312" w:hAnsi="仿宋_GB2312" w:eastAsia="仿宋_GB2312" w:cs="仿宋_GB2312"/>
          <w:kern w:val="2"/>
          <w:sz w:val="32"/>
          <w:szCs w:val="32"/>
          <w:lang w:val="en-US" w:eastAsia="zh-Hans"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600" w:lineRule="exact"/>
        <w:ind w:left="0" w:right="0" w:firstLine="420"/>
        <w:jc w:val="both"/>
        <w:textAlignment w:val="auto"/>
        <w:rPr>
          <w:rFonts w:hint="eastAsia" w:ascii="仿宋_GB2312" w:hAnsi="仿宋_GB2312" w:eastAsia="仿宋_GB2312" w:cs="仿宋_GB2312"/>
          <w:b/>
          <w:bCs/>
          <w:kern w:val="2"/>
          <w:sz w:val="32"/>
          <w:szCs w:val="32"/>
          <w:lang w:val="en-US" w:eastAsia="zh-Hans" w:bidi="ar-SA"/>
        </w:rPr>
      </w:pPr>
      <w:r>
        <w:rPr>
          <w:rFonts w:hint="eastAsia" w:ascii="仿宋_GB2312" w:hAnsi="仿宋_GB2312" w:eastAsia="仿宋_GB2312" w:cs="仿宋_GB2312"/>
          <w:b/>
          <w:bCs/>
          <w:kern w:val="2"/>
          <w:sz w:val="32"/>
          <w:szCs w:val="32"/>
          <w:lang w:val="en-US" w:eastAsia="zh-Hans" w:bidi="ar-SA"/>
        </w:rPr>
        <w:t>（一）主动公开情况</w:t>
      </w:r>
    </w:p>
    <w:p>
      <w:pPr>
        <w:keepNext w:val="0"/>
        <w:keepLines w:val="0"/>
        <w:pageBreakBefore w:val="0"/>
        <w:widowControl/>
        <w:shd w:val="clear" w:color="auto" w:fill="FFFFFF"/>
        <w:kinsoku/>
        <w:wordWrap/>
        <w:overflowPunct/>
        <w:topLinePunct w:val="0"/>
        <w:autoSpaceDE/>
        <w:autoSpaceDN/>
        <w:bidi w:val="0"/>
        <w:spacing w:beforeAutospacing="0" w:afterAutospacing="0" w:line="600" w:lineRule="exact"/>
        <w:ind w:right="0" w:rightChars="0" w:firstLine="643"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一是扎实推进审计公开常规工作。</w:t>
      </w:r>
      <w:r>
        <w:rPr>
          <w:rFonts w:hint="eastAsia" w:ascii="仿宋_GB2312" w:hAnsi="仿宋_GB2312" w:eastAsia="仿宋_GB2312" w:cs="仿宋_GB2312"/>
          <w:kern w:val="2"/>
          <w:sz w:val="32"/>
          <w:szCs w:val="32"/>
          <w:lang w:val="en-US" w:eastAsia="zh-CN" w:bidi="ar-SA"/>
        </w:rPr>
        <w:t>2022年度，区审计局共制发公文16件，主动公开公文16件</w:t>
      </w:r>
      <w:r>
        <w:rPr>
          <w:rFonts w:hint="eastAsia" w:ascii="仿宋_GB2312" w:hAnsi="仿宋_GB2312" w:eastAsia="仿宋_GB2312" w:cs="仿宋_GB2312"/>
          <w:kern w:val="2"/>
          <w:sz w:val="32"/>
          <w:szCs w:val="32"/>
          <w:lang w:val="en-US" w:eastAsia="zh-Hans" w:bidi="ar-SA"/>
        </w:rPr>
        <w:t>，</w:t>
      </w:r>
      <w:r>
        <w:rPr>
          <w:rFonts w:hint="eastAsia" w:ascii="仿宋_GB2312" w:hAnsi="仿宋_GB2312" w:eastAsia="仿宋_GB2312" w:cs="仿宋_GB2312"/>
          <w:kern w:val="2"/>
          <w:sz w:val="32"/>
          <w:szCs w:val="32"/>
          <w:lang w:val="en-US" w:eastAsia="zh-CN" w:bidi="ar-SA"/>
        </w:rPr>
        <w:t>主动公开率100%。其中主动公开审计结果公告12件。包括：部门预算执行审计结果5项，政府投资及民生领域专项审计（调查）7项。</w:t>
      </w:r>
      <w:r>
        <w:rPr>
          <w:rFonts w:hint="eastAsia" w:ascii="仿宋_GB2312" w:hAnsi="仿宋_GB2312" w:eastAsia="仿宋_GB2312" w:cs="仿宋_GB2312"/>
          <w:b/>
          <w:bCs/>
          <w:kern w:val="2"/>
          <w:sz w:val="32"/>
          <w:szCs w:val="32"/>
          <w:lang w:val="en-US" w:eastAsia="zh-CN" w:bidi="ar-SA"/>
        </w:rPr>
        <w:t>二是积极落实财政信息公开工作。</w:t>
      </w:r>
      <w:r>
        <w:rPr>
          <w:rFonts w:hint="eastAsia" w:ascii="仿宋_GB2312" w:hAnsi="仿宋_GB2312" w:eastAsia="仿宋_GB2312" w:cs="仿宋_GB2312"/>
          <w:kern w:val="2"/>
          <w:sz w:val="32"/>
          <w:szCs w:val="32"/>
          <w:lang w:val="en-US" w:eastAsia="zh-CN" w:bidi="ar-SA"/>
        </w:rPr>
        <w:t>根据全区统一部署，按时向社会公开区审计局2022年度部门预算及“三公”经费预算、2021年度部门决算及“三公”经费决算、2022年部门项目绩效目标、2021年度财政项目支出绩效自评表公开等信息。</w:t>
      </w:r>
      <w:r>
        <w:rPr>
          <w:rFonts w:hint="eastAsia" w:ascii="仿宋_GB2312" w:hAnsi="仿宋_GB2312" w:eastAsia="仿宋_GB2312" w:cs="仿宋_GB2312"/>
          <w:b/>
          <w:bCs/>
          <w:kern w:val="2"/>
          <w:sz w:val="32"/>
          <w:szCs w:val="32"/>
          <w:lang w:val="en-US" w:eastAsia="zh-CN" w:bidi="ar-SA"/>
        </w:rPr>
        <w:t>三是不断强化重大事项的公开工作。</w:t>
      </w:r>
      <w:r>
        <w:rPr>
          <w:rFonts w:hint="eastAsia" w:ascii="仿宋_GB2312" w:hAnsi="仿宋_GB2312" w:eastAsia="仿宋_GB2312" w:cs="仿宋_GB2312"/>
          <w:kern w:val="2"/>
          <w:sz w:val="32"/>
          <w:szCs w:val="32"/>
          <w:lang w:val="en-US" w:eastAsia="zh-CN" w:bidi="ar-SA"/>
        </w:rPr>
        <w:t>本年度公开了重点审计项目计划、依法行政等内容的工作计划总结，包括：2022年度重点审计项目计划、2022年普法责任清单、2022年度法治政府建设情况报告、普陀区审计局开展法治宣传教育第八个五年规划（2021—2025年）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600" w:lineRule="exact"/>
        <w:ind w:left="0" w:right="0" w:firstLine="420"/>
        <w:jc w:val="both"/>
        <w:textAlignment w:val="auto"/>
        <w:rPr>
          <w:rFonts w:hint="eastAsia" w:ascii="仿宋_GB2312" w:hAnsi="仿宋_GB2312" w:eastAsia="仿宋_GB2312" w:cs="仿宋_GB2312"/>
          <w:b/>
          <w:bCs/>
          <w:kern w:val="2"/>
          <w:sz w:val="32"/>
          <w:szCs w:val="32"/>
          <w:lang w:val="en-US" w:eastAsia="zh-Hans" w:bidi="ar-SA"/>
        </w:rPr>
      </w:pPr>
      <w:r>
        <w:rPr>
          <w:rFonts w:hint="eastAsia" w:ascii="仿宋_GB2312" w:hAnsi="仿宋_GB2312" w:eastAsia="仿宋_GB2312" w:cs="仿宋_GB2312"/>
          <w:b/>
          <w:bCs/>
          <w:kern w:val="2"/>
          <w:sz w:val="32"/>
          <w:szCs w:val="32"/>
          <w:lang w:val="en-US" w:eastAsia="zh-Hans" w:bidi="ar-SA"/>
        </w:rPr>
        <w:t>（二）依申请公开情况</w:t>
      </w:r>
    </w:p>
    <w:p>
      <w:pPr>
        <w:keepNext w:val="0"/>
        <w:keepLines w:val="0"/>
        <w:pageBreakBefore w:val="0"/>
        <w:widowControl/>
        <w:shd w:val="clear" w:color="auto" w:fill="FFFFFF"/>
        <w:kinsoku/>
        <w:wordWrap/>
        <w:overflowPunct/>
        <w:topLinePunct w:val="0"/>
        <w:autoSpaceDE/>
        <w:autoSpaceDN/>
        <w:bidi w:val="0"/>
        <w:spacing w:beforeAutospacing="0" w:afterAutospacing="0" w:line="600" w:lineRule="exact"/>
        <w:ind w:right="0" w:rightChars="0" w:firstLine="640" w:firstLineChars="200"/>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Hans" w:bidi="ar-SA"/>
        </w:rPr>
        <w:t>规范政府信息公开申请办理工作，</w:t>
      </w:r>
      <w:r>
        <w:rPr>
          <w:rFonts w:hint="eastAsia" w:ascii="仿宋_GB2312" w:hAnsi="仿宋_GB2312" w:eastAsia="仿宋_GB2312" w:cs="仿宋_GB2312"/>
          <w:kern w:val="2"/>
          <w:sz w:val="32"/>
          <w:szCs w:val="32"/>
          <w:lang w:val="en-US" w:eastAsia="zh-CN" w:bidi="ar-SA"/>
        </w:rPr>
        <w:t>注重与申请人沟通，做好疑问解答和便民指引，</w:t>
      </w:r>
      <w:r>
        <w:rPr>
          <w:rFonts w:hint="eastAsia" w:ascii="仿宋_GB2312" w:hAnsi="仿宋_GB2312" w:eastAsia="仿宋_GB2312" w:cs="仿宋_GB2312"/>
          <w:kern w:val="2"/>
          <w:sz w:val="32"/>
          <w:szCs w:val="32"/>
          <w:lang w:val="en-US" w:eastAsia="zh-Hans" w:bidi="ar-SA"/>
        </w:rPr>
        <w:t>实施依申请公开政府信息审批流程，统一依申请公开答复规范，</w:t>
      </w:r>
      <w:r>
        <w:rPr>
          <w:rFonts w:hint="eastAsia" w:ascii="仿宋_GB2312" w:hAnsi="仿宋_GB2312" w:eastAsia="仿宋_GB2312" w:cs="仿宋_GB2312"/>
          <w:kern w:val="2"/>
          <w:sz w:val="32"/>
          <w:szCs w:val="32"/>
          <w:lang w:val="en-US" w:eastAsia="zh-CN" w:bidi="ar-SA"/>
        </w:rPr>
        <w:t>确保申请答复依法、妥善处理。2022年度共受理政府信息公开申请2件，</w:t>
      </w:r>
      <w:r>
        <w:rPr>
          <w:rFonts w:hint="eastAsia" w:ascii="仿宋_GB2312" w:hAnsi="Times New Roman" w:eastAsia="仿宋_GB2312" w:cs="Times New Roman"/>
          <w:sz w:val="32"/>
          <w:szCs w:val="32"/>
          <w:lang w:val="en-US" w:eastAsia="zh-CN"/>
        </w:rPr>
        <w:t>答复政府信息公开申请2件，均在法定期限内予以答复。信息公开类行政复议0件，诉讼0件，未出现被纠错的情况</w:t>
      </w:r>
      <w:r>
        <w:rPr>
          <w:rFonts w:hint="eastAsia" w:ascii="仿宋_GB2312" w:eastAsia="仿宋_GB2312" w:cs="汉仪中等线简"/>
          <w:sz w:val="32"/>
          <w:szCs w:val="32"/>
        </w:rPr>
        <w:t>。</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600" w:lineRule="exact"/>
        <w:ind w:left="0" w:right="0" w:firstLine="42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政府信息管理情况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严格执行信息公开“三级复核”及保密审查工作，</w:t>
      </w:r>
      <w:r>
        <w:rPr>
          <w:rFonts w:hint="eastAsia" w:ascii="仿宋_GB2312" w:hAnsi="仿宋_GB2312" w:eastAsia="仿宋_GB2312" w:cs="仿宋_GB2312"/>
          <w:kern w:val="2"/>
          <w:sz w:val="32"/>
          <w:szCs w:val="32"/>
          <w:lang w:val="en-US" w:eastAsia="zh-Hans" w:bidi="ar-SA"/>
        </w:rPr>
        <w:t>严格规范</w:t>
      </w:r>
      <w:r>
        <w:rPr>
          <w:rFonts w:hint="eastAsia" w:ascii="仿宋_GB2312" w:hAnsi="仿宋_GB2312" w:eastAsia="仿宋_GB2312" w:cs="仿宋_GB2312"/>
          <w:kern w:val="2"/>
          <w:sz w:val="32"/>
          <w:szCs w:val="32"/>
          <w:lang w:val="en-US" w:eastAsia="zh-CN" w:bidi="ar-SA"/>
        </w:rPr>
        <w:t>信息安全管理</w:t>
      </w:r>
      <w:r>
        <w:rPr>
          <w:rFonts w:hint="eastAsia" w:ascii="仿宋_GB2312" w:hAnsi="仿宋_GB2312" w:eastAsia="仿宋_GB2312" w:cs="仿宋_GB2312"/>
          <w:kern w:val="2"/>
          <w:sz w:val="32"/>
          <w:szCs w:val="32"/>
          <w:lang w:val="en-US" w:eastAsia="zh-Hans" w:bidi="ar-SA"/>
        </w:rPr>
        <w:t>流程</w:t>
      </w:r>
      <w:r>
        <w:rPr>
          <w:rFonts w:hint="eastAsia" w:ascii="仿宋_GB2312" w:hAnsi="仿宋_GB2312" w:eastAsia="仿宋_GB2312" w:cs="仿宋_GB2312"/>
          <w:kern w:val="2"/>
          <w:sz w:val="32"/>
          <w:szCs w:val="32"/>
          <w:lang w:val="en-US" w:eastAsia="zh-CN" w:bidi="ar-SA"/>
        </w:rPr>
        <w:t>，在确保信息安全、</w:t>
      </w:r>
      <w:r>
        <w:rPr>
          <w:rFonts w:hint="eastAsia" w:ascii="仿宋_GB2312" w:hAnsi="仿宋_GB2312" w:eastAsia="仿宋_GB2312" w:cs="仿宋_GB2312"/>
          <w:kern w:val="2"/>
          <w:sz w:val="32"/>
          <w:szCs w:val="32"/>
          <w:lang w:val="en-US" w:eastAsia="zh-Hans" w:bidi="ar-SA"/>
        </w:rPr>
        <w:t>保障</w:t>
      </w:r>
      <w:r>
        <w:rPr>
          <w:rFonts w:hint="eastAsia" w:ascii="仿宋_GB2312" w:hAnsi="仿宋_GB2312" w:eastAsia="仿宋_GB2312" w:cs="仿宋_GB2312"/>
          <w:kern w:val="2"/>
          <w:sz w:val="32"/>
          <w:szCs w:val="32"/>
          <w:lang w:val="en-US" w:eastAsia="zh-CN" w:bidi="ar-SA"/>
        </w:rPr>
        <w:t>涉及个人隐私</w:t>
      </w:r>
      <w:r>
        <w:rPr>
          <w:rFonts w:hint="eastAsia" w:ascii="仿宋_GB2312" w:hAnsi="仿宋_GB2312" w:eastAsia="仿宋_GB2312" w:cs="仿宋_GB2312"/>
          <w:kern w:val="2"/>
          <w:sz w:val="32"/>
          <w:szCs w:val="32"/>
          <w:lang w:val="en-US" w:eastAsia="zh-Hans" w:bidi="ar-SA"/>
        </w:rPr>
        <w:t>及</w:t>
      </w:r>
      <w:r>
        <w:rPr>
          <w:rFonts w:hint="eastAsia" w:ascii="仿宋_GB2312" w:hAnsi="仿宋_GB2312" w:eastAsia="仿宋_GB2312" w:cs="仿宋_GB2312"/>
          <w:kern w:val="2"/>
          <w:sz w:val="32"/>
          <w:szCs w:val="32"/>
          <w:lang w:val="en-US" w:eastAsia="zh-CN" w:bidi="ar-SA"/>
        </w:rPr>
        <w:t>政府信息</w:t>
      </w:r>
      <w:r>
        <w:rPr>
          <w:rFonts w:hint="eastAsia" w:ascii="仿宋_GB2312" w:hAnsi="仿宋_GB2312" w:eastAsia="仿宋_GB2312" w:cs="仿宋_GB2312"/>
          <w:kern w:val="2"/>
          <w:sz w:val="32"/>
          <w:szCs w:val="32"/>
          <w:lang w:val="en-US" w:eastAsia="zh-Hans" w:bidi="ar-SA"/>
        </w:rPr>
        <w:t>安全</w:t>
      </w:r>
      <w:r>
        <w:rPr>
          <w:rFonts w:hint="eastAsia" w:ascii="仿宋_GB2312" w:hAnsi="仿宋_GB2312" w:eastAsia="仿宋_GB2312" w:cs="仿宋_GB2312"/>
          <w:kern w:val="2"/>
          <w:sz w:val="32"/>
          <w:szCs w:val="32"/>
          <w:lang w:val="en-US" w:eastAsia="zh-CN" w:bidi="ar-SA"/>
        </w:rPr>
        <w:t>的前提下，及时在“上海普陀”门户网站上进行信息发布，落实“五公开”要求。</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600" w:lineRule="exact"/>
        <w:ind w:left="0" w:leftChars="0" w:right="0" w:rightChars="0" w:firstLine="420" w:firstLineChars="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i w:val="0"/>
          <w:caps w:val="0"/>
          <w:color w:val="auto"/>
          <w:spacing w:val="0"/>
          <w:kern w:val="2"/>
          <w:sz w:val="32"/>
          <w:szCs w:val="32"/>
          <w:u w:val="none"/>
          <w:shd w:val="clear" w:color="auto" w:fill="auto"/>
          <w:lang w:bidi="ar-SA"/>
        </w:rPr>
        <w:t>政府信息公开平台建设</w:t>
      </w:r>
      <w:r>
        <w:rPr>
          <w:rFonts w:hint="eastAsia" w:ascii="仿宋_GB2312" w:hAnsi="仿宋_GB2312" w:eastAsia="仿宋_GB2312" w:cs="仿宋_GB2312"/>
          <w:b/>
          <w:bCs/>
          <w:kern w:val="2"/>
          <w:sz w:val="32"/>
          <w:szCs w:val="32"/>
          <w:lang w:val="en-US" w:eastAsia="zh-CN" w:bidi="ar-SA"/>
        </w:rPr>
        <w:t>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按照本区政务公开标准化规范化的要求和实施细则，认真做好“上海普陀”、上海市政务公开工作平台的日常维护。</w:t>
      </w:r>
      <w:r>
        <w:rPr>
          <w:rFonts w:hint="eastAsia" w:ascii="仿宋_GB2312" w:hAnsi="仿宋_GB2312" w:eastAsia="仿宋_GB2312" w:cs="仿宋_GB2312"/>
          <w:kern w:val="2"/>
          <w:sz w:val="32"/>
          <w:szCs w:val="32"/>
          <w:lang w:val="en-US" w:eastAsia="zh-Hans" w:bidi="ar-SA"/>
        </w:rPr>
        <w:t>加大政府信息公开力度，</w:t>
      </w:r>
      <w:r>
        <w:rPr>
          <w:rFonts w:hint="eastAsia" w:ascii="仿宋_GB2312" w:hAnsi="仿宋_GB2312" w:eastAsia="仿宋_GB2312" w:cs="仿宋_GB2312"/>
          <w:kern w:val="2"/>
          <w:sz w:val="32"/>
          <w:szCs w:val="32"/>
          <w:lang w:val="en-US" w:eastAsia="zh-CN" w:bidi="ar-SA"/>
        </w:rPr>
        <w:t>规范主动公开工作，自觉接受群众监督。</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spacing w:before="0" w:beforeAutospacing="0" w:after="0" w:afterAutospacing="0" w:line="600" w:lineRule="exact"/>
        <w:ind w:left="0" w:leftChars="0" w:right="0" w:rightChars="0" w:firstLine="420" w:firstLineChars="0"/>
        <w:jc w:val="both"/>
        <w:textAlignment w:val="auto"/>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监督保障情况</w:t>
      </w:r>
    </w:p>
    <w:p>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Autospacing="0" w:line="600" w:lineRule="exact"/>
        <w:ind w:right="0" w:rightChars="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加强政务公开工作的组织和领导。成</w:t>
      </w:r>
      <w:r>
        <w:rPr>
          <w:rFonts w:hint="eastAsia" w:ascii="仿宋_GB2312" w:hAnsi="仿宋_GB2312" w:eastAsia="仿宋_GB2312" w:cs="仿宋_GB2312"/>
          <w:kern w:val="2"/>
          <w:sz w:val="32"/>
          <w:szCs w:val="32"/>
          <w:lang w:val="en-US" w:eastAsia="zh-CN" w:bidi="ar-SA"/>
        </w:rPr>
        <w:t>立政府信息公开领导小组，由党组书记、</w:t>
      </w:r>
      <w:r>
        <w:rPr>
          <w:rFonts w:hint="eastAsia" w:ascii="仿宋_GB2312" w:hAnsi="仿宋_GB2312" w:eastAsia="仿宋_GB2312" w:cs="仿宋_GB2312"/>
          <w:kern w:val="2"/>
          <w:sz w:val="32"/>
          <w:szCs w:val="32"/>
          <w:lang w:val="en-US" w:eastAsia="zh-Hans" w:bidi="ar-SA"/>
        </w:rPr>
        <w:t>局长杨剑</w:t>
      </w:r>
      <w:r>
        <w:rPr>
          <w:rFonts w:hint="eastAsia" w:ascii="仿宋_GB2312" w:hAnsi="仿宋_GB2312" w:eastAsia="仿宋_GB2312" w:cs="仿宋_GB2312"/>
          <w:kern w:val="2"/>
          <w:sz w:val="32"/>
          <w:szCs w:val="32"/>
          <w:lang w:val="en-US" w:eastAsia="zh-CN" w:bidi="ar-SA"/>
        </w:rPr>
        <w:t>担任组长，下设办公室，具体负责政务公开的日常工作。由办公室组织协调，各科室承担职责范围内公开事项，办公室会同监督审核，分工明确、责任层层落实。</w:t>
      </w:r>
    </w:p>
    <w:p>
      <w:pPr>
        <w:keepNext w:val="0"/>
        <w:keepLines w:val="0"/>
        <w:pageBreakBefore w:val="0"/>
        <w:widowControl/>
        <w:numPr>
          <w:ilvl w:val="0"/>
          <w:numId w:val="3"/>
        </w:numPr>
        <w:kinsoku/>
        <w:wordWrap/>
        <w:overflowPunct/>
        <w:topLinePunct w:val="0"/>
        <w:autoSpaceDE/>
        <w:autoSpaceDN/>
        <w:bidi w:val="0"/>
        <w:adjustRightInd w:val="0"/>
        <w:snapToGrid w:val="0"/>
        <w:spacing w:beforeAutospacing="0" w:afterAutospacing="0" w:line="600" w:lineRule="exact"/>
        <w:ind w:right="0" w:rightChars="0" w:firstLine="643" w:firstLineChars="200"/>
        <w:jc w:val="left"/>
        <w:textAlignment w:val="auto"/>
        <w:outlineLvl w:val="9"/>
        <w:rPr>
          <w:rFonts w:hint="eastAsia" w:ascii="宋体" w:hAnsi="宋体" w:eastAsia="宋体" w:cs="宋体"/>
          <w:b/>
          <w:i w:val="0"/>
          <w:caps w:val="0"/>
          <w:color w:val="auto"/>
          <w:spacing w:val="0"/>
          <w:sz w:val="32"/>
          <w:szCs w:val="32"/>
          <w:shd w:val="clear" w:color="auto" w:fill="auto"/>
        </w:rPr>
      </w:pPr>
      <w:r>
        <w:rPr>
          <w:rFonts w:hint="eastAsia" w:ascii="宋体" w:hAnsi="宋体" w:eastAsia="宋体" w:cs="宋体"/>
          <w:b/>
          <w:i w:val="0"/>
          <w:caps w:val="0"/>
          <w:color w:val="auto"/>
          <w:spacing w:val="0"/>
          <w:sz w:val="32"/>
          <w:szCs w:val="32"/>
          <w:shd w:val="clear" w:color="auto" w:fill="auto"/>
        </w:rPr>
        <w:t>主动公开政府信息情况</w:t>
      </w:r>
    </w:p>
    <w:tbl>
      <w:tblPr>
        <w:tblStyle w:val="3"/>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color w:val="000000"/>
                <w:kern w:val="0"/>
                <w:sz w:val="20"/>
                <w:szCs w:val="20"/>
                <w:shd w:val="clear" w:color="auto" w:fill="auto"/>
                <w:lang w:val="en-US" w:eastAsia="zh-CN"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color w:val="000000"/>
                <w:kern w:val="0"/>
                <w:sz w:val="20"/>
                <w:szCs w:val="20"/>
                <w:shd w:val="clear" w:color="auto" w:fill="auto"/>
                <w:lang w:val="en-US" w:eastAsia="zh-CN" w:bidi="ar"/>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color w:val="000000"/>
                <w:kern w:val="0"/>
                <w:sz w:val="20"/>
                <w:szCs w:val="20"/>
                <w:shd w:val="clear" w:color="auto" w:fill="auto"/>
                <w:lang w:val="en-US" w:eastAsia="zh-CN" w:bidi="ar"/>
              </w:rPr>
              <w:t>本年</w:t>
            </w:r>
            <w:r>
              <w:rPr>
                <w:rFonts w:hint="eastAsia" w:ascii="宋体" w:hAnsi="宋体" w:eastAsia="宋体" w:cs="宋体"/>
                <w:kern w:val="0"/>
                <w:sz w:val="20"/>
                <w:szCs w:val="20"/>
                <w:shd w:val="clear" w:color="auto" w:fill="auto"/>
                <w:lang w:val="en-US" w:eastAsia="zh-CN" w:bidi="ar"/>
              </w:rPr>
              <w:t>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color w:val="000000"/>
                <w:kern w:val="0"/>
                <w:sz w:val="20"/>
                <w:szCs w:val="20"/>
                <w:shd w:val="clear" w:color="auto" w:fill="auto"/>
                <w:lang w:val="en-US" w:eastAsia="zh-CN" w:bidi="ar"/>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color w:val="000000"/>
                <w:kern w:val="0"/>
                <w:sz w:val="20"/>
                <w:szCs w:val="20"/>
                <w:shd w:val="clear" w:color="auto" w:fill="auto"/>
                <w:lang w:val="en-US" w:eastAsia="zh-CN" w:bidi="ar"/>
              </w:rPr>
              <w:t>现行有效件</w:t>
            </w:r>
            <w:r>
              <w:rPr>
                <w:rFonts w:hint="eastAsia" w:ascii="宋体" w:hAnsi="宋体" w:eastAsia="宋体" w:cs="宋体"/>
                <w:kern w:val="0"/>
                <w:sz w:val="20"/>
                <w:szCs w:val="20"/>
                <w:shd w:val="clear" w:color="auto" w:fill="auto"/>
                <w:lang w:val="en-US" w:eastAsia="zh-CN"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color w:val="000000"/>
                <w:kern w:val="0"/>
                <w:sz w:val="20"/>
                <w:szCs w:val="20"/>
                <w:shd w:val="clear" w:color="auto" w:fill="auto"/>
                <w:lang w:val="en-US" w:eastAsia="zh-CN"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r>
              <w:rPr>
                <w:rFonts w:hint="eastAsia" w:ascii="宋体" w:hAnsi="宋体" w:cs="宋体"/>
                <w:color w:val="auto"/>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r>
              <w:rPr>
                <w:rFonts w:hint="eastAsia" w:ascii="宋体" w:hAnsi="宋体" w:cs="宋体"/>
                <w:color w:val="auto"/>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color w:val="auto"/>
                <w:shd w:val="clear" w:color="auto" w:fill="auto"/>
              </w:rPr>
            </w:pPr>
            <w:r>
              <w:rPr>
                <w:rFonts w:hint="eastAsia" w:ascii="宋体" w:hAnsi="宋体" w:cs="宋体"/>
                <w:color w:val="auto"/>
                <w:kern w:val="0"/>
                <w:sz w:val="20"/>
                <w:szCs w:val="20"/>
                <w:lang w:val="en-US" w:eastAsia="zh-CN"/>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color w:val="000000"/>
                <w:kern w:val="0"/>
                <w:sz w:val="20"/>
                <w:szCs w:val="20"/>
                <w:shd w:val="clear" w:color="auto" w:fill="auto"/>
                <w:lang w:val="en-US" w:eastAsia="zh-CN"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hd w:val="clear" w:color="auto" w:fill="auto"/>
              </w:rPr>
            </w:pPr>
            <w:r>
              <w:rPr>
                <w:rFonts w:hint="eastAsia" w:ascii="宋体" w:hAnsi="宋体" w:cs="宋体"/>
                <w:color w:val="auto"/>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hd w:val="clear" w:color="auto" w:fill="auto"/>
              </w:rPr>
            </w:pPr>
            <w:r>
              <w:rPr>
                <w:rFonts w:hint="eastAsia" w:ascii="宋体" w:hAnsi="宋体" w:cs="宋体"/>
                <w:color w:val="auto"/>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hd w:val="clear" w:color="auto" w:fill="auto"/>
              </w:rPr>
            </w:pPr>
            <w:r>
              <w:rPr>
                <w:rFonts w:hint="eastAsia" w:ascii="宋体" w:hAnsi="宋体" w:cs="宋体"/>
                <w:color w:val="auto"/>
                <w:kern w:val="0"/>
                <w:sz w:val="20"/>
                <w:szCs w:val="20"/>
                <w:lang w:val="en-US" w:eastAsia="zh-CN"/>
              </w:rPr>
              <w:t>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color w:val="000000"/>
                <w:kern w:val="0"/>
                <w:sz w:val="20"/>
                <w:szCs w:val="20"/>
                <w:shd w:val="clear" w:color="auto" w:fill="auto"/>
                <w:lang w:val="en-US" w:eastAsia="zh-CN"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color w:val="000000"/>
                <w:kern w:val="0"/>
                <w:sz w:val="20"/>
                <w:szCs w:val="20"/>
                <w:shd w:val="clear" w:color="auto" w:fill="auto"/>
                <w:lang w:val="en-US" w:eastAsia="zh-CN" w:bidi="ar"/>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color w:val="000000"/>
                <w:kern w:val="0"/>
                <w:sz w:val="20"/>
                <w:szCs w:val="20"/>
                <w:shd w:val="clear" w:color="auto" w:fill="auto"/>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color w:val="000000"/>
                <w:kern w:val="0"/>
                <w:sz w:val="20"/>
                <w:szCs w:val="20"/>
                <w:shd w:val="clear" w:color="auto" w:fill="auto"/>
                <w:lang w:val="en-US" w:eastAsia="zh-CN"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jc w:val="center"/>
              <w:rPr>
                <w:rFonts w:hint="eastAsia" w:eastAsiaTheme="minorEastAsia"/>
                <w:shd w:val="clear" w:color="auto" w:fill="auto"/>
                <w:lang w:val="en-US" w:eastAsia="zh-CN"/>
              </w:rPr>
            </w:pPr>
            <w:r>
              <w:rPr>
                <w:rFonts w:hint="eastAsia" w:ascii="宋体" w:hAnsi="宋体" w:eastAsia="宋体" w:cs="宋体"/>
                <w:sz w:val="20"/>
                <w:szCs w:val="20"/>
                <w:shd w:val="clear" w:color="auto" w:fill="auto"/>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color w:val="000000"/>
                <w:kern w:val="0"/>
                <w:sz w:val="20"/>
                <w:szCs w:val="20"/>
                <w:shd w:val="clear" w:color="auto" w:fill="auto"/>
                <w:lang w:val="en-US" w:eastAsia="zh-CN"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color w:val="000000"/>
                <w:kern w:val="0"/>
                <w:sz w:val="20"/>
                <w:szCs w:val="20"/>
                <w:shd w:val="clear" w:color="auto" w:fill="auto"/>
                <w:lang w:val="en-US" w:eastAsia="zh-CN" w:bidi="ar"/>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color w:val="000000"/>
                <w:kern w:val="0"/>
                <w:sz w:val="20"/>
                <w:szCs w:val="20"/>
                <w:shd w:val="clear" w:color="auto" w:fill="auto"/>
                <w:lang w:val="en-US" w:eastAsia="zh-CN"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color w:val="000000"/>
                <w:kern w:val="0"/>
                <w:sz w:val="20"/>
                <w:szCs w:val="20"/>
                <w:shd w:val="clear" w:color="auto" w:fill="auto"/>
                <w:lang w:val="en-US" w:eastAsia="zh-CN"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hd w:val="clear" w:color="auto" w:fill="auto"/>
                <w:lang w:val="en-US"/>
              </w:rPr>
            </w:pPr>
            <w:r>
              <w:rPr>
                <w:rFonts w:hint="eastAsia" w:ascii="宋体" w:hAnsi="宋体" w:eastAsia="宋体" w:cs="宋体"/>
                <w:color w:val="000000"/>
                <w:kern w:val="0"/>
                <w:sz w:val="20"/>
                <w:szCs w:val="20"/>
                <w:shd w:val="clear" w:color="auto" w:fill="auto"/>
                <w:lang w:val="en-US" w:eastAsia="zh-CN"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color w:val="000000"/>
                <w:kern w:val="0"/>
                <w:sz w:val="20"/>
                <w:szCs w:val="20"/>
                <w:shd w:val="clear" w:color="auto" w:fill="auto"/>
                <w:lang w:val="en-US" w:eastAsia="zh-CN"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eastAsiaTheme="minorEastAsia"/>
                <w:shd w:val="clear" w:color="auto" w:fill="auto"/>
                <w:lang w:val="en-US" w:eastAsia="zh-CN"/>
              </w:rPr>
            </w:pPr>
            <w:r>
              <w:rPr>
                <w:rFonts w:hint="eastAsia" w:ascii="宋体" w:hAnsi="宋体" w:eastAsia="宋体" w:cs="宋体"/>
                <w:sz w:val="20"/>
                <w:szCs w:val="20"/>
                <w:shd w:val="clear" w:color="auto" w:fill="auto"/>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color w:val="000000"/>
                <w:kern w:val="0"/>
                <w:sz w:val="20"/>
                <w:szCs w:val="20"/>
                <w:shd w:val="clear" w:color="auto" w:fill="auto"/>
                <w:lang w:val="en-US" w:eastAsia="zh-CN"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color w:val="000000"/>
                <w:kern w:val="0"/>
                <w:sz w:val="20"/>
                <w:szCs w:val="20"/>
                <w:shd w:val="clear" w:color="auto" w:fill="auto"/>
                <w:lang w:val="en-US" w:eastAsia="zh-CN" w:bidi="ar"/>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color w:val="000000"/>
                <w:kern w:val="0"/>
                <w:sz w:val="20"/>
                <w:szCs w:val="20"/>
                <w:shd w:val="clear" w:color="auto" w:fill="auto"/>
                <w:lang w:val="en-US" w:eastAsia="zh-CN"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lang w:val="en-US"/>
              </w:rPr>
            </w:pPr>
            <w:r>
              <w:rPr>
                <w:rFonts w:hint="eastAsia" w:ascii="宋体" w:hAnsi="宋体" w:eastAsia="宋体" w:cs="宋体"/>
                <w:color w:val="000000"/>
                <w:kern w:val="0"/>
                <w:sz w:val="20"/>
                <w:szCs w:val="20"/>
                <w:shd w:val="clear" w:color="auto" w:fill="auto"/>
                <w:lang w:val="en-US" w:eastAsia="zh-CN"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ind w:firstLine="200" w:firstLineChars="100"/>
              <w:jc w:val="center"/>
              <w:rPr>
                <w:rFonts w:hint="eastAsia" w:ascii="宋体"/>
                <w:color w:val="auto"/>
                <w:sz w:val="24"/>
                <w:szCs w:val="24"/>
                <w:shd w:val="clear" w:color="auto" w:fill="auto"/>
                <w:lang w:val="en-US"/>
              </w:rPr>
            </w:pPr>
            <w:r>
              <w:rPr>
                <w:rFonts w:hint="eastAsia" w:ascii="宋体" w:hAnsi="宋体" w:eastAsia="宋体" w:cs="宋体"/>
                <w:color w:val="auto"/>
                <w:kern w:val="0"/>
                <w:sz w:val="20"/>
                <w:szCs w:val="20"/>
                <w:shd w:val="clear" w:color="auto" w:fill="auto"/>
                <w:lang w:val="en-US" w:eastAsia="zh-CN" w:bidi="ar"/>
              </w:rPr>
              <w:t>0</w:t>
            </w:r>
          </w:p>
        </w:tc>
      </w:tr>
    </w:tbl>
    <w:p>
      <w:pPr>
        <w:rPr>
          <w:rFonts w:hint="eastAsia" w:ascii="宋体" w:hAnsi="宋体" w:eastAsia="宋体" w:cs="宋体"/>
          <w:b/>
          <w:i w:val="0"/>
          <w:caps w:val="0"/>
          <w:color w:val="auto"/>
          <w:spacing w:val="0"/>
          <w:sz w:val="32"/>
          <w:szCs w:val="32"/>
          <w:shd w:val="clear" w:color="auto" w:fill="auto"/>
        </w:rPr>
      </w:pPr>
      <w:r>
        <w:rPr>
          <w:rFonts w:hint="eastAsia" w:ascii="宋体" w:hAnsi="宋体" w:eastAsia="宋体" w:cs="宋体"/>
          <w:b/>
          <w:i w:val="0"/>
          <w:caps w:val="0"/>
          <w:color w:val="auto"/>
          <w:spacing w:val="0"/>
          <w:sz w:val="32"/>
          <w:szCs w:val="32"/>
          <w:shd w:val="clear" w:color="auto" w:fill="auto"/>
        </w:rPr>
        <w:br w:type="page"/>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0" w:beforeAutospacing="0" w:after="0" w:afterAutospacing="0" w:line="600" w:lineRule="exact"/>
        <w:ind w:left="0" w:leftChars="0" w:right="0" w:firstLine="643" w:firstLineChars="200"/>
        <w:jc w:val="both"/>
        <w:textAlignment w:val="auto"/>
        <w:rPr>
          <w:rFonts w:hint="eastAsia" w:ascii="宋体" w:hAnsi="宋体" w:eastAsia="宋体" w:cs="宋体"/>
          <w:b/>
          <w:i w:val="0"/>
          <w:caps w:val="0"/>
          <w:color w:val="auto"/>
          <w:spacing w:val="0"/>
          <w:sz w:val="32"/>
          <w:szCs w:val="32"/>
          <w:shd w:val="clear" w:color="auto" w:fill="auto"/>
        </w:rPr>
      </w:pPr>
      <w:r>
        <w:rPr>
          <w:rFonts w:hint="eastAsia" w:ascii="宋体" w:hAnsi="宋体" w:eastAsia="宋体" w:cs="宋体"/>
          <w:b/>
          <w:i w:val="0"/>
          <w:caps w:val="0"/>
          <w:color w:val="auto"/>
          <w:spacing w:val="0"/>
          <w:sz w:val="32"/>
          <w:szCs w:val="32"/>
          <w:shd w:val="clear" w:color="auto" w:fill="auto"/>
        </w:rPr>
        <w:t>收到和处理政府信息公开申请情况</w:t>
      </w:r>
    </w:p>
    <w:tbl>
      <w:tblPr>
        <w:tblStyle w:val="3"/>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74"/>
        <w:gridCol w:w="949"/>
        <w:gridCol w:w="3293"/>
        <w:gridCol w:w="698"/>
        <w:gridCol w:w="698"/>
        <w:gridCol w:w="698"/>
        <w:gridCol w:w="698"/>
        <w:gridCol w:w="698"/>
        <w:gridCol w:w="698"/>
        <w:gridCol w:w="53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6"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ascii="楷体" w:hAnsi="楷体" w:eastAsia="楷体" w:cs="楷体"/>
                <w:kern w:val="0"/>
                <w:sz w:val="20"/>
                <w:szCs w:val="20"/>
                <w:shd w:val="clear" w:color="auto" w:fill="auto"/>
                <w:lang w:val="en-US" w:eastAsia="zh-CN" w:bidi="ar"/>
              </w:rPr>
              <w:t>（本列数据的勾稽关系为：第一项加第二项之和，等于第三项加第四项之和）</w:t>
            </w:r>
          </w:p>
        </w:tc>
        <w:tc>
          <w:tcPr>
            <w:tcW w:w="4727" w:type="dxa"/>
            <w:gridSpan w:val="7"/>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kern w:val="0"/>
                <w:sz w:val="20"/>
                <w:szCs w:val="20"/>
                <w:shd w:val="clear" w:color="auto" w:fill="auto"/>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6"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eastAsia" w:ascii="宋体"/>
                <w:sz w:val="24"/>
                <w:szCs w:val="24"/>
                <w:shd w:val="clear" w:color="auto" w:fill="auto"/>
              </w:rPr>
            </w:pPr>
          </w:p>
        </w:tc>
        <w:tc>
          <w:tcPr>
            <w:tcW w:w="698" w:type="dxa"/>
            <w:vMerge w:val="restart"/>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kern w:val="0"/>
                <w:sz w:val="20"/>
                <w:szCs w:val="20"/>
                <w:shd w:val="clear" w:color="auto" w:fill="auto"/>
                <w:lang w:val="en-US" w:eastAsia="zh-CN" w:bidi="ar"/>
              </w:rPr>
              <w:t>自然人</w:t>
            </w:r>
          </w:p>
        </w:tc>
        <w:tc>
          <w:tcPr>
            <w:tcW w:w="3490" w:type="dxa"/>
            <w:gridSpan w:val="5"/>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kern w:val="0"/>
                <w:sz w:val="20"/>
                <w:szCs w:val="20"/>
                <w:shd w:val="clear" w:color="auto" w:fill="auto"/>
                <w:lang w:val="en-US" w:eastAsia="zh-CN" w:bidi="ar"/>
              </w:rPr>
              <w:t>法人或其他组织</w:t>
            </w:r>
          </w:p>
        </w:tc>
        <w:tc>
          <w:tcPr>
            <w:tcW w:w="539"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kern w:val="0"/>
                <w:sz w:val="20"/>
                <w:szCs w:val="20"/>
                <w:shd w:val="clear" w:color="auto" w:fill="auto"/>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6"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eastAsia" w:ascii="宋体"/>
                <w:sz w:val="24"/>
                <w:szCs w:val="24"/>
                <w:shd w:val="clear" w:color="auto" w:fill="auto"/>
              </w:rPr>
            </w:pPr>
          </w:p>
        </w:tc>
        <w:tc>
          <w:tcPr>
            <w:tcW w:w="698" w:type="dxa"/>
            <w:vMerge w:val="continue"/>
            <w:tcBorders>
              <w:top w:val="nil"/>
              <w:left w:val="nil"/>
              <w:bottom w:val="single"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kern w:val="0"/>
                <w:sz w:val="20"/>
                <w:szCs w:val="20"/>
                <w:shd w:val="clear" w:color="auto" w:fill="auto"/>
                <w:lang w:val="en-US" w:eastAsia="zh-CN" w:bidi="ar"/>
              </w:rPr>
              <w:t>商业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kern w:val="0"/>
                <w:sz w:val="20"/>
                <w:szCs w:val="20"/>
                <w:shd w:val="clear" w:color="auto" w:fill="auto"/>
                <w:lang w:val="en-US" w:eastAsia="zh-CN" w:bidi="ar"/>
              </w:rPr>
              <w:t>企业</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kern w:val="0"/>
                <w:sz w:val="20"/>
                <w:szCs w:val="20"/>
                <w:shd w:val="clear" w:color="auto" w:fill="auto"/>
                <w:lang w:val="en-US" w:eastAsia="zh-CN" w:bidi="ar"/>
              </w:rPr>
              <w:t>科研</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kern w:val="0"/>
                <w:sz w:val="20"/>
                <w:szCs w:val="20"/>
                <w:shd w:val="clear" w:color="auto" w:fill="auto"/>
                <w:lang w:val="en-US" w:eastAsia="zh-CN" w:bidi="ar"/>
              </w:rPr>
              <w:t>机构</w:t>
            </w:r>
          </w:p>
        </w:tc>
        <w:tc>
          <w:tcPr>
            <w:tcW w:w="69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kern w:val="0"/>
                <w:sz w:val="20"/>
                <w:szCs w:val="20"/>
                <w:shd w:val="clear" w:color="auto" w:fill="auto"/>
                <w:lang w:val="en-US" w:eastAsia="zh-CN" w:bidi="ar"/>
              </w:rPr>
              <w:t>社会公益组织</w:t>
            </w:r>
          </w:p>
        </w:tc>
        <w:tc>
          <w:tcPr>
            <w:tcW w:w="69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kern w:val="0"/>
                <w:sz w:val="20"/>
                <w:szCs w:val="20"/>
                <w:shd w:val="clear" w:color="auto" w:fill="auto"/>
                <w:lang w:val="en-US" w:eastAsia="zh-CN" w:bidi="ar"/>
              </w:rPr>
              <w:t>法律服务机构</w:t>
            </w:r>
          </w:p>
        </w:tc>
        <w:tc>
          <w:tcPr>
            <w:tcW w:w="69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宋体" w:hAnsi="宋体" w:eastAsia="宋体" w:cs="宋体"/>
                <w:kern w:val="0"/>
                <w:sz w:val="20"/>
                <w:szCs w:val="20"/>
                <w:shd w:val="clear" w:color="auto" w:fill="auto"/>
                <w:lang w:val="en-US" w:eastAsia="zh-CN" w:bidi="ar"/>
              </w:rPr>
              <w:t>其他</w:t>
            </w:r>
          </w:p>
        </w:tc>
        <w:tc>
          <w:tcPr>
            <w:tcW w:w="539"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6"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一、本年新收政府信息公开申请数量</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Theme="minorEastAsia"/>
                <w:color w:val="auto"/>
                <w:shd w:val="clear" w:color="auto" w:fill="auto"/>
                <w:lang w:val="en-US" w:eastAsia="zh-CN"/>
              </w:rPr>
            </w:pPr>
            <w:r>
              <w:rPr>
                <w:rFonts w:hint="eastAsia"/>
                <w:color w:val="auto"/>
                <w:shd w:val="clear" w:color="auto" w:fill="auto"/>
                <w:lang w:val="en-US" w:eastAsia="zh-CN"/>
              </w:rPr>
              <w:t>2</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hd w:val="clear" w:color="auto" w:fill="auto"/>
              </w:rPr>
            </w:pPr>
            <w:r>
              <w:rPr>
                <w:rFonts w:hint="eastAsia" w:cs="Calibri"/>
                <w:color w:val="auto"/>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hd w:val="clear" w:color="auto" w:fill="auto"/>
              </w:rPr>
            </w:pPr>
            <w:r>
              <w:rPr>
                <w:rFonts w:hint="eastAsia" w:cs="Calibri"/>
                <w:color w:val="auto"/>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hd w:val="clear" w:color="auto" w:fill="auto"/>
              </w:rPr>
            </w:pPr>
            <w:r>
              <w:rPr>
                <w:rFonts w:hint="eastAsia" w:cs="Calibri"/>
                <w:color w:val="auto"/>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hd w:val="clear" w:color="auto" w:fill="auto"/>
              </w:rPr>
            </w:pPr>
            <w:r>
              <w:rPr>
                <w:rFonts w:hint="eastAsia" w:cs="Calibri"/>
                <w:color w:val="auto"/>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hd w:val="clear" w:color="auto" w:fill="auto"/>
              </w:rPr>
            </w:pPr>
            <w:r>
              <w:rPr>
                <w:rFonts w:hint="eastAsia" w:cs="Calibri"/>
                <w:color w:val="auto"/>
                <w:kern w:val="0"/>
                <w:sz w:val="20"/>
                <w:szCs w:val="20"/>
                <w:shd w:val="clear" w:color="auto" w:fill="auto"/>
                <w:lang w:val="en-US" w:eastAsia="zh-CN" w:bidi="ar"/>
              </w:rPr>
              <w:t>0</w:t>
            </w:r>
          </w:p>
        </w:tc>
        <w:tc>
          <w:tcPr>
            <w:tcW w:w="53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color w:val="auto"/>
                <w:shd w:val="clear" w:color="auto" w:fill="auto"/>
                <w:lang w:val="en-US" w:eastAsia="zh-CN"/>
              </w:rPr>
            </w:pPr>
            <w:r>
              <w:rPr>
                <w:rFonts w:hint="eastAsia"/>
                <w:color w:val="auto"/>
                <w:shd w:val="clear" w:color="auto" w:fill="auto"/>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6"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二、上年结转政府信息公开申请数量</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hd w:val="clear" w:color="auto" w:fill="auto"/>
              </w:rPr>
            </w:pPr>
            <w:r>
              <w:rPr>
                <w:rFonts w:hint="default" w:ascii="Calibri" w:hAnsi="Calibri" w:eastAsia="宋体" w:cs="Calibri"/>
                <w:color w:val="auto"/>
                <w:kern w:val="0"/>
                <w:sz w:val="20"/>
                <w:szCs w:val="20"/>
                <w:shd w:val="clear" w:color="auto" w:fill="auto"/>
                <w:lang w:val="en-US" w:eastAsia="zh-CN" w:bidi="ar"/>
              </w:rPr>
              <w:t> </w:t>
            </w:r>
            <w:r>
              <w:rPr>
                <w:rFonts w:hint="eastAsia" w:cs="Calibri"/>
                <w:color w:val="auto"/>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hd w:val="clear" w:color="auto" w:fill="auto"/>
              </w:rPr>
            </w:pPr>
            <w:r>
              <w:rPr>
                <w:rFonts w:hint="eastAsia" w:cs="Calibri"/>
                <w:color w:val="auto"/>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hd w:val="clear" w:color="auto" w:fill="auto"/>
              </w:rPr>
            </w:pPr>
            <w:r>
              <w:rPr>
                <w:rFonts w:hint="eastAsia" w:cs="Calibri"/>
                <w:color w:val="auto"/>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hd w:val="clear" w:color="auto" w:fill="auto"/>
              </w:rPr>
            </w:pPr>
            <w:r>
              <w:rPr>
                <w:rFonts w:hint="eastAsia" w:cs="Calibri"/>
                <w:color w:val="auto"/>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hd w:val="clear" w:color="auto" w:fill="auto"/>
              </w:rPr>
            </w:pPr>
            <w:r>
              <w:rPr>
                <w:rFonts w:hint="eastAsia" w:ascii="Calibri" w:hAnsi="Calibri" w:eastAsia="宋体" w:cs="Calibri"/>
                <w:color w:val="auto"/>
                <w:kern w:val="0"/>
                <w:sz w:val="20"/>
                <w:szCs w:val="20"/>
                <w:shd w:val="clear" w:color="auto" w:fill="auto"/>
                <w:lang w:val="en-US" w:eastAsia="zh-CN" w:bidi="ar"/>
              </w:rPr>
              <w:t>0</w:t>
            </w:r>
            <w:r>
              <w:rPr>
                <w:rFonts w:hint="default" w:ascii="Calibri" w:hAnsi="Calibri" w:eastAsia="宋体" w:cs="Calibri"/>
                <w:color w:val="auto"/>
                <w:kern w:val="0"/>
                <w:sz w:val="20"/>
                <w:szCs w:val="20"/>
                <w:shd w:val="clear" w:color="auto" w:fill="auto"/>
                <w:lang w:val="en-US" w:eastAsia="zh-CN" w:bidi="ar"/>
              </w:rPr>
              <w:t> </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color w:val="auto"/>
                <w:shd w:val="clear" w:color="auto" w:fill="auto"/>
              </w:rPr>
            </w:pPr>
            <w:r>
              <w:rPr>
                <w:rFonts w:hint="eastAsia" w:ascii="Calibri" w:hAnsi="Calibri" w:eastAsia="宋体" w:cs="Calibri"/>
                <w:color w:val="auto"/>
                <w:kern w:val="0"/>
                <w:sz w:val="20"/>
                <w:szCs w:val="20"/>
                <w:shd w:val="clear" w:color="auto" w:fill="auto"/>
                <w:lang w:val="en-US" w:eastAsia="zh-CN" w:bidi="ar"/>
              </w:rPr>
              <w:t>0</w:t>
            </w:r>
            <w:r>
              <w:rPr>
                <w:rFonts w:hint="default" w:ascii="Calibri" w:hAnsi="Calibri" w:eastAsia="宋体" w:cs="Calibri"/>
                <w:color w:val="auto"/>
                <w:kern w:val="0"/>
                <w:sz w:val="20"/>
                <w:szCs w:val="20"/>
                <w:shd w:val="clear" w:color="auto" w:fill="auto"/>
                <w:lang w:val="en-US" w:eastAsia="zh-CN" w:bidi="ar"/>
              </w:rPr>
              <w:t> </w:t>
            </w:r>
          </w:p>
        </w:tc>
        <w:tc>
          <w:tcPr>
            <w:tcW w:w="539"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color w:val="auto"/>
                <w:shd w:val="clear" w:color="auto" w:fill="auto"/>
                <w:lang w:val="en-US"/>
              </w:rPr>
            </w:pPr>
            <w:r>
              <w:rPr>
                <w:rFonts w:hint="default" w:ascii="Calibri" w:hAnsi="Calibri" w:eastAsia="宋体" w:cs="Calibri"/>
                <w:color w:val="auto"/>
                <w:kern w:val="0"/>
                <w:sz w:val="20"/>
                <w:szCs w:val="20"/>
                <w:shd w:val="clear" w:color="auto" w:fill="auto"/>
                <w:lang w:val="en-US" w:eastAsia="zh-CN" w:bidi="ar"/>
              </w:rPr>
              <w:t> </w:t>
            </w:r>
            <w:r>
              <w:rPr>
                <w:rFonts w:hint="eastAsia" w:ascii="Calibri" w:hAnsi="Calibri" w:eastAsia="宋体" w:cs="Calibri"/>
                <w:color w:val="auto"/>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restart"/>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三、本年度办理结果</w:t>
            </w:r>
          </w:p>
        </w:tc>
        <w:tc>
          <w:tcPr>
            <w:tcW w:w="4242" w:type="dxa"/>
            <w:gridSpan w:val="2"/>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（一）予以公开</w:t>
            </w:r>
          </w:p>
        </w:tc>
        <w:tc>
          <w:tcPr>
            <w:tcW w:w="698"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hd w:val="clear" w:color="auto" w:fill="auto"/>
                <w:lang w:val="en-US"/>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hd w:val="clear" w:color="auto" w:fill="auto"/>
                <w:lang w:val="en-US"/>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hd w:val="clear" w:color="auto" w:fill="auto"/>
                <w:lang w:val="en-US"/>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hd w:val="clear" w:color="auto" w:fill="auto"/>
                <w:lang w:val="en-US"/>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698"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single" w:color="auto" w:sz="8" w:space="0"/>
              <w:left w:val="single" w:color="auto" w:sz="8" w:space="0"/>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shd w:val="clear" w:color="auto" w:fill="auto"/>
                <w:lang w:val="en-US"/>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single" w:color="auto" w:sz="8" w:space="0"/>
              <w:left w:val="single" w:color="auto" w:sz="8" w:space="0"/>
              <w:bottom w:val="single"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4242" w:type="dxa"/>
            <w:gridSpan w:val="2"/>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（二）部分公开</w:t>
            </w:r>
            <w:r>
              <w:rPr>
                <w:rFonts w:hint="eastAsia" w:ascii="楷体" w:hAnsi="楷体" w:eastAsia="楷体" w:cs="楷体"/>
                <w:kern w:val="0"/>
                <w:sz w:val="20"/>
                <w:szCs w:val="20"/>
                <w:shd w:val="clear" w:color="auto" w:fill="auto"/>
                <w:lang w:val="en-US" w:eastAsia="zh-CN" w:bidi="ar"/>
              </w:rPr>
              <w:t>（区分处理的，只计这一情形，不计其他情形）</w:t>
            </w:r>
          </w:p>
        </w:tc>
        <w:tc>
          <w:tcPr>
            <w:tcW w:w="698"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single" w:color="auto" w:sz="8" w:space="0"/>
              <w:left w:val="single" w:color="auto" w:sz="8" w:space="0"/>
              <w:bottom w:val="single"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949" w:type="dxa"/>
            <w:vMerge w:val="restart"/>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（三）不予公开</w:t>
            </w:r>
          </w:p>
        </w:tc>
        <w:tc>
          <w:tcPr>
            <w:tcW w:w="3293" w:type="dxa"/>
            <w:tcBorders>
              <w:top w:val="single" w:color="auto" w:sz="8" w:space="0"/>
              <w:left w:val="single" w:color="auto" w:sz="8" w:space="0"/>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1.属于国家秘密</w:t>
            </w:r>
          </w:p>
        </w:tc>
        <w:tc>
          <w:tcPr>
            <w:tcW w:w="698"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single" w:color="auto" w:sz="8" w:space="0"/>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single" w:color="auto" w:sz="8" w:space="0"/>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949"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3293" w:type="dxa"/>
            <w:tcBorders>
              <w:top w:val="single" w:color="auto" w:sz="8" w:space="0"/>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2.其他法律行政法规禁止公开</w:t>
            </w:r>
          </w:p>
        </w:tc>
        <w:tc>
          <w:tcPr>
            <w:tcW w:w="69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single" w:color="auto" w:sz="8" w:space="0"/>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94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3293"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3.危及“三安全一稳定”</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94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3293"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4.保护第三方合法权益</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94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3293"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5.属于三类内部事务信息</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94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3293"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6.属于四类过程性信息</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94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3293"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7.属于行政执法案卷</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94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3293"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8.属于行政查询事项</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949"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（四）无法提供</w:t>
            </w:r>
          </w:p>
        </w:tc>
        <w:tc>
          <w:tcPr>
            <w:tcW w:w="3293"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1.本机关不掌握相关政府信息</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94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3293"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2.没有现成信息需要另行制作</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94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3293"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3.补正后申请内容仍不明确</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949" w:type="dxa"/>
            <w:vMerge w:val="restart"/>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（五）不予处理</w:t>
            </w:r>
          </w:p>
        </w:tc>
        <w:tc>
          <w:tcPr>
            <w:tcW w:w="3293"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1.信访举报投诉类申请</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94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3293"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2.重复申请</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94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3293"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3.要求提供公开出版物</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94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3293" w:type="dxa"/>
            <w:tcBorders>
              <w:top w:val="nil"/>
              <w:left w:val="nil"/>
              <w:bottom w:val="single" w:color="auto" w:sz="8" w:space="0"/>
              <w:right w:val="single" w:color="auto" w:sz="8" w:space="0"/>
            </w:tcBorders>
            <w:tcMar>
              <w:left w:w="57" w:type="dxa"/>
              <w:right w:w="57"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4.无正当理由大量反复申请</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7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949" w:type="dxa"/>
            <w:vMerge w:val="continue"/>
            <w:tcBorders>
              <w:top w:val="nil"/>
              <w:left w:val="nil"/>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3293"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hd w:val="clear" w:color="auto" w:fill="auto"/>
              </w:rPr>
            </w:pPr>
            <w:r>
              <w:rPr>
                <w:rFonts w:hint="eastAsia" w:ascii="宋体" w:hAnsi="宋体" w:eastAsia="宋体" w:cs="宋体"/>
                <w:kern w:val="0"/>
                <w:sz w:val="20"/>
                <w:szCs w:val="20"/>
                <w:shd w:val="clear" w:color="auto" w:fill="auto"/>
                <w:lang w:val="en-US" w:eastAsia="zh-CN" w:bidi="ar"/>
              </w:rPr>
              <w:t>5.要求行政机关确认或重新出具已获取信息</w:t>
            </w:r>
          </w:p>
        </w:tc>
        <w:tc>
          <w:tcPr>
            <w:tcW w:w="69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shd w:val="clear" w:color="auto" w:fill="auto"/>
                <w:lang w:val="en-US" w:eastAsia="zh-CN" w:bidi="ar-SA"/>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2</w:t>
            </w:r>
          </w:p>
        </w:tc>
        <w:tc>
          <w:tcPr>
            <w:tcW w:w="69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shd w:val="clear" w:color="auto" w:fill="auto"/>
                <w:lang w:val="en-US" w:eastAsia="zh-CN" w:bidi="ar-SA"/>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shd w:val="clear" w:color="auto" w:fill="auto"/>
                <w:lang w:val="en-US" w:eastAsia="zh-CN" w:bidi="ar-SA"/>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shd w:val="clear" w:color="auto" w:fill="auto"/>
                <w:lang w:val="en-US" w:eastAsia="zh-CN" w:bidi="ar-SA"/>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shd w:val="clear" w:color="auto" w:fill="auto"/>
                <w:lang w:val="en-US" w:eastAsia="zh-CN" w:bidi="ar-SA"/>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698"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asciiTheme="minorHAnsi" w:hAnsiTheme="minorHAnsi" w:eastAsiaTheme="minorEastAsia" w:cstheme="minorBidi"/>
                <w:kern w:val="2"/>
                <w:sz w:val="21"/>
                <w:szCs w:val="24"/>
                <w:shd w:val="clear" w:color="auto" w:fill="auto"/>
                <w:lang w:val="en-US" w:eastAsia="zh-CN" w:bidi="ar-SA"/>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nil"/>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heme="minorHAnsi" w:hAnsiTheme="minorHAnsi" w:eastAsiaTheme="minorEastAsia" w:cstheme="minorBidi"/>
                <w:kern w:val="2"/>
                <w:sz w:val="21"/>
                <w:szCs w:val="24"/>
                <w:shd w:val="clear" w:color="auto" w:fill="auto"/>
                <w:lang w:val="en-US" w:eastAsia="zh-CN" w:bidi="ar-SA"/>
              </w:rPr>
            </w:pPr>
            <w:r>
              <w:rPr>
                <w:rFonts w:hint="eastAsia" w:ascii="Calibri" w:hAnsi="Calibri" w:eastAsia="宋体" w:cs="Calibri"/>
                <w:kern w:val="0"/>
                <w:sz w:val="20"/>
                <w:szCs w:val="20"/>
                <w:shd w:val="clear" w:color="auto" w:fill="auto"/>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949"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（六）其他处理</w:t>
            </w:r>
          </w:p>
        </w:tc>
        <w:tc>
          <w:tcPr>
            <w:tcW w:w="329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hd w:val="clear" w:color="auto" w:fill="auto"/>
              </w:rPr>
            </w:pPr>
            <w:r>
              <w:rPr>
                <w:rFonts w:hint="eastAsia" w:ascii="宋体" w:hAnsi="宋体" w:eastAsia="宋体" w:cs="宋体"/>
                <w:kern w:val="0"/>
                <w:sz w:val="20"/>
                <w:szCs w:val="20"/>
                <w:shd w:val="clear" w:color="auto" w:fill="auto"/>
                <w:lang w:val="en-US" w:eastAsia="zh-CN" w:bidi="ar"/>
              </w:rPr>
              <w:t>1.申请人无正当理由逾期不补正、行政机关不再处理其政府信息公开申请</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949"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329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shd w:val="clear" w:color="auto" w:fill="auto"/>
              </w:rPr>
            </w:pPr>
            <w:r>
              <w:rPr>
                <w:rFonts w:hint="eastAsia" w:ascii="宋体" w:hAnsi="宋体" w:eastAsia="宋体" w:cs="宋体"/>
                <w:kern w:val="0"/>
                <w:sz w:val="20"/>
                <w:szCs w:val="20"/>
                <w:shd w:val="clear" w:color="auto" w:fill="auto"/>
                <w:lang w:val="en-US" w:eastAsia="zh-CN" w:bidi="ar"/>
              </w:rPr>
              <w:t>2.申请人逾期未按收费通知要求缴纳费用、行政机关不再处理其政府信息公开申请</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949"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3293"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3.其他</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74"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eastAsia" w:ascii="宋体"/>
                <w:sz w:val="24"/>
                <w:szCs w:val="24"/>
                <w:shd w:val="clear" w:color="auto" w:fill="auto"/>
              </w:rPr>
            </w:pPr>
          </w:p>
        </w:tc>
        <w:tc>
          <w:tcPr>
            <w:tcW w:w="4242" w:type="dxa"/>
            <w:gridSpan w:val="2"/>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（七）总计</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2</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016" w:type="dxa"/>
            <w:gridSpan w:val="3"/>
            <w:tcBorders>
              <w:top w:val="nil"/>
              <w:left w:val="single" w:color="auto" w:sz="8"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shd w:val="clear" w:color="auto" w:fill="auto"/>
              </w:rPr>
            </w:pPr>
            <w:r>
              <w:rPr>
                <w:rFonts w:hint="eastAsia" w:ascii="宋体" w:hAnsi="宋体" w:eastAsia="宋体" w:cs="宋体"/>
                <w:kern w:val="0"/>
                <w:sz w:val="20"/>
                <w:szCs w:val="20"/>
                <w:shd w:val="clear" w:color="auto" w:fill="auto"/>
                <w:lang w:val="en-US" w:eastAsia="zh-CN" w:bidi="ar"/>
              </w:rPr>
              <w:t>四、结转下年度继续办理</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default" w:ascii="Calibri" w:hAnsi="Calibri" w:eastAsia="宋体" w:cs="Calibri"/>
                <w:kern w:val="0"/>
                <w:sz w:val="20"/>
                <w:szCs w:val="20"/>
                <w:shd w:val="clear" w:color="auto" w:fill="auto"/>
                <w:lang w:val="en-US" w:eastAsia="zh-CN" w:bidi="ar"/>
              </w:rPr>
              <w:t> </w:t>
            </w:r>
            <w:r>
              <w:rPr>
                <w:rFonts w:hint="eastAsia" w:ascii="Calibri" w:hAnsi="Calibri" w:eastAsia="宋体" w:cs="Calibri"/>
                <w:kern w:val="0"/>
                <w:sz w:val="20"/>
                <w:szCs w:val="20"/>
                <w:shd w:val="clear" w:color="auto" w:fill="auto"/>
                <w:lang w:val="en-US" w:eastAsia="zh-CN" w:bidi="ar"/>
              </w:rPr>
              <w:t>0</w:t>
            </w:r>
          </w:p>
        </w:tc>
        <w:tc>
          <w:tcPr>
            <w:tcW w:w="69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shd w:val="clear" w:color="auto" w:fill="auto"/>
              </w:rPr>
            </w:pPr>
            <w:r>
              <w:rPr>
                <w:rFonts w:hint="eastAsia" w:ascii="Calibri" w:hAnsi="Calibri" w:eastAsia="宋体" w:cs="Calibri"/>
                <w:kern w:val="0"/>
                <w:sz w:val="20"/>
                <w:szCs w:val="20"/>
                <w:shd w:val="clear" w:color="auto" w:fill="auto"/>
                <w:lang w:val="en-US" w:eastAsia="zh-CN" w:bidi="ar"/>
              </w:rPr>
              <w:t>0</w:t>
            </w:r>
            <w:r>
              <w:rPr>
                <w:rFonts w:hint="default" w:ascii="Calibri" w:hAnsi="Calibri" w:eastAsia="宋体" w:cs="Calibri"/>
                <w:kern w:val="0"/>
                <w:sz w:val="20"/>
                <w:szCs w:val="20"/>
                <w:shd w:val="clear" w:color="auto" w:fill="auto"/>
                <w:lang w:val="en-US" w:eastAsia="zh-CN" w:bidi="ar"/>
              </w:rPr>
              <w:t> </w:t>
            </w:r>
          </w:p>
        </w:tc>
        <w:tc>
          <w:tcPr>
            <w:tcW w:w="539"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rightChars="0"/>
              <w:jc w:val="center"/>
              <w:rPr>
                <w:rFonts w:hint="eastAsia" w:ascii="宋体"/>
                <w:sz w:val="24"/>
                <w:szCs w:val="24"/>
                <w:shd w:val="clear" w:color="auto" w:fill="auto"/>
              </w:rPr>
            </w:pPr>
            <w:r>
              <w:rPr>
                <w:rFonts w:hint="eastAsia" w:ascii="Calibri" w:hAnsi="Calibri" w:eastAsia="宋体" w:cs="Calibri"/>
                <w:kern w:val="0"/>
                <w:sz w:val="20"/>
                <w:szCs w:val="20"/>
                <w:shd w:val="clear" w:color="auto" w:fill="auto"/>
                <w:lang w:val="en-US" w:eastAsia="zh-CN" w:bidi="ar"/>
              </w:rPr>
              <w:t>0</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240" w:lineRule="auto"/>
        <w:ind w:right="0" w:rightChars="0"/>
        <w:jc w:val="both"/>
        <w:textAlignment w:val="auto"/>
        <w:outlineLvl w:val="9"/>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240" w:lineRule="auto"/>
        <w:ind w:right="0" w:rightChars="0"/>
        <w:jc w:val="both"/>
        <w:textAlignment w:val="auto"/>
        <w:outlineLvl w:val="9"/>
        <w:rPr>
          <w:rFonts w:hint="eastAsia"/>
          <w:color w:val="FF0000"/>
          <w:shd w:val="clear" w:color="auto" w:fill="auto"/>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napToGrid/>
        <w:spacing w:beforeAutospacing="0" w:afterAutospacing="0" w:line="240" w:lineRule="auto"/>
        <w:ind w:left="0" w:leftChars="0" w:right="0" w:rightChars="0" w:firstLine="420" w:firstLineChars="200"/>
        <w:jc w:val="both"/>
        <w:textAlignment w:val="auto"/>
        <w:outlineLvl w:val="9"/>
        <w:rPr>
          <w:rFonts w:hint="eastAsia"/>
          <w:color w:val="auto"/>
          <w:shd w:val="clear" w:color="auto" w:fill="auto"/>
          <w:lang w:val="en-US" w:eastAsia="zh-CN"/>
        </w:rPr>
      </w:pPr>
    </w:p>
    <w:p>
      <w:pPr>
        <w:pStyle w:val="2"/>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hd w:val="clear" w:color="auto" w:fill="auto"/>
        <w:spacing w:before="0" w:beforeAutospacing="0" w:after="0" w:afterAutospacing="0"/>
        <w:ind w:left="0" w:right="0" w:firstLine="420"/>
        <w:jc w:val="both"/>
        <w:rPr>
          <w:rFonts w:hint="eastAsia" w:ascii="宋体" w:hAnsi="宋体" w:eastAsia="宋体" w:cs="宋体"/>
          <w:b/>
          <w:i w:val="0"/>
          <w:caps w:val="0"/>
          <w:color w:val="auto"/>
          <w:spacing w:val="0"/>
          <w:sz w:val="32"/>
          <w:szCs w:val="32"/>
          <w:shd w:val="clear" w:color="auto" w:fill="auto"/>
        </w:rPr>
      </w:pPr>
      <w:r>
        <w:rPr>
          <w:rFonts w:hint="eastAsia" w:ascii="宋体" w:hAnsi="宋体" w:eastAsia="宋体" w:cs="宋体"/>
          <w:b/>
          <w:i w:val="0"/>
          <w:caps w:val="0"/>
          <w:color w:val="auto"/>
          <w:spacing w:val="0"/>
          <w:sz w:val="32"/>
          <w:szCs w:val="32"/>
          <w:shd w:val="clear" w:color="auto" w:fill="auto"/>
        </w:rPr>
        <w:t>政府信息公开行政复议、行政诉讼情况</w:t>
      </w:r>
    </w:p>
    <w:tbl>
      <w:tblPr>
        <w:tblStyle w:val="3"/>
        <w:tblW w:w="973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2"/>
        <w:gridCol w:w="642"/>
        <w:gridCol w:w="642"/>
        <w:gridCol w:w="642"/>
        <w:gridCol w:w="642"/>
        <w:gridCol w:w="642"/>
        <w:gridCol w:w="642"/>
        <w:gridCol w:w="643"/>
        <w:gridCol w:w="643"/>
        <w:gridCol w:w="643"/>
        <w:gridCol w:w="643"/>
        <w:gridCol w:w="643"/>
        <w:gridCol w:w="643"/>
        <w:gridCol w:w="643"/>
        <w:gridCol w:w="743"/>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1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kern w:val="0"/>
                <w:sz w:val="20"/>
                <w:szCs w:val="20"/>
                <w:shd w:val="clear" w:color="auto" w:fill="auto"/>
                <w:lang w:val="en-US" w:eastAsia="zh-CN" w:bidi="ar"/>
              </w:rPr>
              <w:t>行政复议</w:t>
            </w:r>
          </w:p>
        </w:tc>
        <w:tc>
          <w:tcPr>
            <w:tcW w:w="652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kern w:val="0"/>
                <w:sz w:val="20"/>
                <w:szCs w:val="20"/>
                <w:shd w:val="clear" w:color="auto" w:fill="auto"/>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kern w:val="0"/>
                <w:sz w:val="20"/>
                <w:szCs w:val="20"/>
                <w:shd w:val="clear" w:color="auto" w:fill="auto"/>
                <w:lang w:val="en-US" w:eastAsia="zh-CN" w:bidi="ar"/>
              </w:rPr>
              <w:t>结果维持</w:t>
            </w:r>
          </w:p>
        </w:tc>
        <w:tc>
          <w:tcPr>
            <w:tcW w:w="642"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kern w:val="0"/>
                <w:sz w:val="20"/>
                <w:szCs w:val="20"/>
                <w:shd w:val="clear" w:color="auto" w:fill="auto"/>
                <w:lang w:val="en-US" w:eastAsia="zh-CN" w:bidi="ar"/>
              </w:rPr>
              <w:t>结果</w:t>
            </w:r>
            <w:r>
              <w:rPr>
                <w:rFonts w:hint="eastAsia" w:ascii="宋体" w:hAnsi="宋体" w:eastAsia="宋体" w:cs="宋体"/>
                <w:kern w:val="0"/>
                <w:sz w:val="20"/>
                <w:szCs w:val="20"/>
                <w:shd w:val="clear" w:color="auto" w:fill="auto"/>
                <w:lang w:val="en-US" w:eastAsia="zh-CN" w:bidi="ar"/>
              </w:rPr>
              <w:br w:type="textWrapping"/>
            </w:r>
            <w:r>
              <w:rPr>
                <w:rFonts w:hint="eastAsia" w:ascii="宋体" w:hAnsi="宋体" w:eastAsia="宋体" w:cs="宋体"/>
                <w:kern w:val="0"/>
                <w:sz w:val="20"/>
                <w:szCs w:val="20"/>
                <w:shd w:val="clear" w:color="auto" w:fill="auto"/>
                <w:lang w:val="en-US" w:eastAsia="zh-CN" w:bidi="ar"/>
              </w:rPr>
              <w:t>纠正</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kern w:val="0"/>
                <w:sz w:val="20"/>
                <w:szCs w:val="20"/>
                <w:shd w:val="clear" w:color="auto" w:fill="auto"/>
                <w:lang w:val="en-US" w:eastAsia="zh-CN" w:bidi="ar"/>
              </w:rPr>
              <w:t>其他</w:t>
            </w:r>
            <w:r>
              <w:rPr>
                <w:rFonts w:hint="eastAsia" w:ascii="宋体" w:hAnsi="宋体" w:eastAsia="宋体" w:cs="宋体"/>
                <w:kern w:val="0"/>
                <w:sz w:val="20"/>
                <w:szCs w:val="20"/>
                <w:shd w:val="clear" w:color="auto" w:fill="auto"/>
                <w:lang w:val="en-US" w:eastAsia="zh-CN" w:bidi="ar"/>
              </w:rPr>
              <w:br w:type="textWrapping"/>
            </w:r>
            <w:r>
              <w:rPr>
                <w:rFonts w:hint="eastAsia" w:ascii="宋体" w:hAnsi="宋体" w:eastAsia="宋体" w:cs="宋体"/>
                <w:kern w:val="0"/>
                <w:sz w:val="20"/>
                <w:szCs w:val="20"/>
                <w:shd w:val="clear" w:color="auto" w:fill="auto"/>
                <w:lang w:val="en-US" w:eastAsia="zh-CN" w:bidi="ar"/>
              </w:rPr>
              <w:t>结果</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kern w:val="0"/>
                <w:sz w:val="20"/>
                <w:szCs w:val="20"/>
                <w:shd w:val="clear" w:color="auto" w:fill="auto"/>
                <w:lang w:val="en-US" w:eastAsia="zh-CN" w:bidi="ar"/>
              </w:rPr>
              <w:t>尚未</w:t>
            </w:r>
            <w:r>
              <w:rPr>
                <w:rFonts w:hint="eastAsia" w:ascii="宋体" w:hAnsi="宋体" w:eastAsia="宋体" w:cs="宋体"/>
                <w:kern w:val="0"/>
                <w:sz w:val="20"/>
                <w:szCs w:val="20"/>
                <w:shd w:val="clear" w:color="auto" w:fill="auto"/>
                <w:lang w:val="en-US" w:eastAsia="zh-CN" w:bidi="ar"/>
              </w:rPr>
              <w:br w:type="textWrapping"/>
            </w:r>
            <w:r>
              <w:rPr>
                <w:rFonts w:hint="eastAsia" w:ascii="宋体" w:hAnsi="宋体" w:eastAsia="宋体" w:cs="宋体"/>
                <w:kern w:val="0"/>
                <w:sz w:val="20"/>
                <w:szCs w:val="20"/>
                <w:shd w:val="clear" w:color="auto" w:fill="auto"/>
                <w:lang w:val="en-US" w:eastAsia="zh-CN" w:bidi="ar"/>
              </w:rPr>
              <w:t>审结</w:t>
            </w:r>
          </w:p>
        </w:tc>
        <w:tc>
          <w:tcPr>
            <w:tcW w:w="642"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kern w:val="0"/>
                <w:sz w:val="20"/>
                <w:szCs w:val="20"/>
                <w:shd w:val="clear" w:color="auto" w:fill="auto"/>
                <w:lang w:val="en-US" w:eastAsia="zh-CN" w:bidi="ar"/>
              </w:rPr>
              <w:t>总计</w:t>
            </w:r>
          </w:p>
        </w:tc>
        <w:tc>
          <w:tcPr>
            <w:tcW w:w="3213"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kern w:val="0"/>
                <w:sz w:val="20"/>
                <w:szCs w:val="20"/>
                <w:shd w:val="clear" w:color="auto" w:fill="auto"/>
                <w:lang w:val="en-US" w:eastAsia="zh-CN" w:bidi="ar"/>
              </w:rPr>
              <w:t>未经复议直接起诉</w:t>
            </w:r>
          </w:p>
        </w:tc>
        <w:tc>
          <w:tcPr>
            <w:tcW w:w="331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kern w:val="0"/>
                <w:sz w:val="20"/>
                <w:szCs w:val="20"/>
                <w:shd w:val="clear" w:color="auto" w:fill="auto"/>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shd w:val="clear" w:color="auto" w:fill="auto"/>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shd w:val="clear" w:color="auto" w:fill="auto"/>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shd w:val="clear" w:color="auto" w:fill="auto"/>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shd w:val="clear" w:color="auto" w:fill="auto"/>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shd w:val="clear" w:color="auto" w:fill="auto"/>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kern w:val="0"/>
                <w:sz w:val="20"/>
                <w:szCs w:val="20"/>
                <w:shd w:val="clear" w:color="auto" w:fill="auto"/>
                <w:lang w:val="en-US" w:eastAsia="zh-CN" w:bidi="ar"/>
              </w:rPr>
              <w:t>结果</w:t>
            </w:r>
            <w:r>
              <w:rPr>
                <w:rFonts w:hint="eastAsia" w:ascii="宋体" w:hAnsi="宋体" w:eastAsia="宋体" w:cs="宋体"/>
                <w:kern w:val="0"/>
                <w:sz w:val="20"/>
                <w:szCs w:val="20"/>
                <w:shd w:val="clear" w:color="auto" w:fill="auto"/>
                <w:lang w:val="en-US" w:eastAsia="zh-CN" w:bidi="ar"/>
              </w:rPr>
              <w:br w:type="textWrapping"/>
            </w:r>
            <w:r>
              <w:rPr>
                <w:rFonts w:hint="eastAsia" w:ascii="宋体" w:hAnsi="宋体" w:eastAsia="宋体" w:cs="宋体"/>
                <w:kern w:val="0"/>
                <w:sz w:val="20"/>
                <w:szCs w:val="20"/>
                <w:shd w:val="clear" w:color="auto" w:fill="auto"/>
                <w:lang w:val="en-US" w:eastAsia="zh-CN" w:bidi="ar"/>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kern w:val="0"/>
                <w:sz w:val="20"/>
                <w:szCs w:val="20"/>
                <w:shd w:val="clear" w:color="auto" w:fill="auto"/>
                <w:lang w:val="en-US" w:eastAsia="zh-CN" w:bidi="ar"/>
              </w:rPr>
              <w:t>结果</w:t>
            </w:r>
            <w:r>
              <w:rPr>
                <w:rFonts w:hint="eastAsia" w:ascii="宋体" w:hAnsi="宋体" w:eastAsia="宋体" w:cs="宋体"/>
                <w:kern w:val="0"/>
                <w:sz w:val="20"/>
                <w:szCs w:val="20"/>
                <w:shd w:val="clear" w:color="auto" w:fill="auto"/>
                <w:lang w:val="en-US" w:eastAsia="zh-CN" w:bidi="ar"/>
              </w:rPr>
              <w:br w:type="textWrapping"/>
            </w:r>
            <w:r>
              <w:rPr>
                <w:rFonts w:hint="eastAsia" w:ascii="宋体" w:hAnsi="宋体" w:eastAsia="宋体" w:cs="宋体"/>
                <w:kern w:val="0"/>
                <w:sz w:val="20"/>
                <w:szCs w:val="20"/>
                <w:shd w:val="clear" w:color="auto" w:fill="auto"/>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kern w:val="0"/>
                <w:sz w:val="20"/>
                <w:szCs w:val="20"/>
                <w:shd w:val="clear" w:color="auto" w:fill="auto"/>
                <w:lang w:val="en-US" w:eastAsia="zh-CN" w:bidi="ar"/>
              </w:rPr>
              <w:t>其他</w:t>
            </w:r>
            <w:r>
              <w:rPr>
                <w:rFonts w:hint="eastAsia" w:ascii="宋体" w:hAnsi="宋体" w:eastAsia="宋体" w:cs="宋体"/>
                <w:kern w:val="0"/>
                <w:sz w:val="20"/>
                <w:szCs w:val="20"/>
                <w:shd w:val="clear" w:color="auto" w:fill="auto"/>
                <w:lang w:val="en-US" w:eastAsia="zh-CN" w:bidi="ar"/>
              </w:rPr>
              <w:br w:type="textWrapping"/>
            </w:r>
            <w:r>
              <w:rPr>
                <w:rFonts w:hint="eastAsia" w:ascii="宋体" w:hAnsi="宋体" w:eastAsia="宋体" w:cs="宋体"/>
                <w:kern w:val="0"/>
                <w:sz w:val="20"/>
                <w:szCs w:val="20"/>
                <w:shd w:val="clear" w:color="auto" w:fill="auto"/>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kern w:val="0"/>
                <w:sz w:val="20"/>
                <w:szCs w:val="20"/>
                <w:shd w:val="clear" w:color="auto" w:fill="auto"/>
                <w:lang w:val="en-US" w:eastAsia="zh-CN" w:bidi="ar"/>
              </w:rPr>
              <w:t>尚未</w:t>
            </w:r>
            <w:r>
              <w:rPr>
                <w:rFonts w:hint="eastAsia" w:ascii="宋体" w:hAnsi="宋体" w:eastAsia="宋体" w:cs="宋体"/>
                <w:kern w:val="0"/>
                <w:sz w:val="20"/>
                <w:szCs w:val="20"/>
                <w:shd w:val="clear" w:color="auto" w:fill="auto"/>
                <w:lang w:val="en-US" w:eastAsia="zh-CN" w:bidi="ar"/>
              </w:rPr>
              <w:br w:type="textWrapping"/>
            </w:r>
            <w:r>
              <w:rPr>
                <w:rFonts w:hint="eastAsia" w:ascii="宋体" w:hAnsi="宋体" w:eastAsia="宋体" w:cs="宋体"/>
                <w:kern w:val="0"/>
                <w:sz w:val="20"/>
                <w:szCs w:val="20"/>
                <w:shd w:val="clear" w:color="auto" w:fill="auto"/>
                <w:lang w:val="en-US" w:eastAsia="zh-CN"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color w:val="000000"/>
                <w:kern w:val="0"/>
                <w:sz w:val="20"/>
                <w:szCs w:val="20"/>
                <w:shd w:val="clear" w:color="auto" w:fill="auto"/>
                <w:lang w:val="en-US" w:eastAsia="zh-CN" w:bidi="ar"/>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kern w:val="0"/>
                <w:sz w:val="20"/>
                <w:szCs w:val="20"/>
                <w:shd w:val="clear" w:color="auto" w:fill="auto"/>
                <w:lang w:val="en-US" w:eastAsia="zh-CN" w:bidi="ar"/>
              </w:rPr>
              <w:t>结果</w:t>
            </w:r>
            <w:r>
              <w:rPr>
                <w:rFonts w:hint="eastAsia" w:ascii="宋体" w:hAnsi="宋体" w:eastAsia="宋体" w:cs="宋体"/>
                <w:kern w:val="0"/>
                <w:sz w:val="20"/>
                <w:szCs w:val="20"/>
                <w:shd w:val="clear" w:color="auto" w:fill="auto"/>
                <w:lang w:val="en-US" w:eastAsia="zh-CN" w:bidi="ar"/>
              </w:rPr>
              <w:br w:type="textWrapping"/>
            </w:r>
            <w:r>
              <w:rPr>
                <w:rFonts w:hint="eastAsia" w:ascii="宋体" w:hAnsi="宋体" w:eastAsia="宋体" w:cs="宋体"/>
                <w:kern w:val="0"/>
                <w:sz w:val="20"/>
                <w:szCs w:val="20"/>
                <w:shd w:val="clear" w:color="auto" w:fill="auto"/>
                <w:lang w:val="en-US" w:eastAsia="zh-CN" w:bidi="ar"/>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kern w:val="0"/>
                <w:sz w:val="20"/>
                <w:szCs w:val="20"/>
                <w:shd w:val="clear" w:color="auto" w:fill="auto"/>
                <w:lang w:val="en-US" w:eastAsia="zh-CN" w:bidi="ar"/>
              </w:rPr>
              <w:t>结果</w:t>
            </w:r>
            <w:r>
              <w:rPr>
                <w:rFonts w:hint="eastAsia" w:ascii="宋体" w:hAnsi="宋体" w:eastAsia="宋体" w:cs="宋体"/>
                <w:kern w:val="0"/>
                <w:sz w:val="20"/>
                <w:szCs w:val="20"/>
                <w:shd w:val="clear" w:color="auto" w:fill="auto"/>
                <w:lang w:val="en-US" w:eastAsia="zh-CN" w:bidi="ar"/>
              </w:rPr>
              <w:br w:type="textWrapping"/>
            </w:r>
            <w:r>
              <w:rPr>
                <w:rFonts w:hint="eastAsia" w:ascii="宋体" w:hAnsi="宋体" w:eastAsia="宋体" w:cs="宋体"/>
                <w:kern w:val="0"/>
                <w:sz w:val="20"/>
                <w:szCs w:val="20"/>
                <w:shd w:val="clear" w:color="auto" w:fill="auto"/>
                <w:lang w:val="en-US" w:eastAsia="zh-CN"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color w:val="000000"/>
                <w:kern w:val="0"/>
                <w:sz w:val="20"/>
                <w:szCs w:val="20"/>
                <w:shd w:val="clear" w:color="auto" w:fill="auto"/>
                <w:lang w:val="en-US" w:eastAsia="zh-CN" w:bidi="ar"/>
              </w:rPr>
              <w:t>其他</w:t>
            </w:r>
            <w:r>
              <w:rPr>
                <w:rFonts w:hint="eastAsia" w:ascii="宋体" w:hAnsi="宋体" w:eastAsia="宋体" w:cs="宋体"/>
                <w:color w:val="000000"/>
                <w:kern w:val="0"/>
                <w:sz w:val="20"/>
                <w:szCs w:val="20"/>
                <w:shd w:val="clear" w:color="auto" w:fill="auto"/>
                <w:lang w:val="en-US" w:eastAsia="zh-CN" w:bidi="ar"/>
              </w:rPr>
              <w:br w:type="textWrapping"/>
            </w:r>
            <w:r>
              <w:rPr>
                <w:rFonts w:hint="eastAsia" w:ascii="宋体" w:hAnsi="宋体" w:eastAsia="宋体" w:cs="宋体"/>
                <w:color w:val="000000"/>
                <w:kern w:val="0"/>
                <w:sz w:val="20"/>
                <w:szCs w:val="20"/>
                <w:shd w:val="clear" w:color="auto" w:fill="auto"/>
                <w:lang w:val="en-US" w:eastAsia="zh-CN"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kern w:val="0"/>
                <w:sz w:val="20"/>
                <w:szCs w:val="20"/>
                <w:shd w:val="clear" w:color="auto" w:fill="auto"/>
                <w:lang w:val="en-US" w:eastAsia="zh-CN" w:bidi="ar"/>
              </w:rPr>
              <w:t>尚未</w:t>
            </w:r>
            <w:r>
              <w:rPr>
                <w:rFonts w:hint="eastAsia" w:ascii="宋体" w:hAnsi="宋体" w:eastAsia="宋体" w:cs="宋体"/>
                <w:kern w:val="0"/>
                <w:sz w:val="20"/>
                <w:szCs w:val="20"/>
                <w:shd w:val="clear" w:color="auto" w:fill="auto"/>
                <w:lang w:val="en-US" w:eastAsia="zh-CN" w:bidi="ar"/>
              </w:rPr>
              <w:br w:type="textWrapping"/>
            </w:r>
            <w:r>
              <w:rPr>
                <w:rFonts w:hint="eastAsia" w:ascii="宋体" w:hAnsi="宋体" w:eastAsia="宋体" w:cs="宋体"/>
                <w:kern w:val="0"/>
                <w:sz w:val="20"/>
                <w:szCs w:val="20"/>
                <w:shd w:val="clear" w:color="auto" w:fill="auto"/>
                <w:lang w:val="en-US" w:eastAsia="zh-CN" w:bidi="ar"/>
              </w:rPr>
              <w:t>审结</w:t>
            </w:r>
          </w:p>
        </w:tc>
        <w:tc>
          <w:tcPr>
            <w:tcW w:w="7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宋体" w:hAnsi="宋体" w:eastAsia="宋体" w:cs="宋体"/>
                <w:color w:val="000000"/>
                <w:kern w:val="0"/>
                <w:sz w:val="20"/>
                <w:szCs w:val="20"/>
                <w:shd w:val="clear" w:color="auto" w:fill="auto"/>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Calibri" w:hAnsi="Calibri" w:eastAsia="宋体" w:cs="Calibri"/>
                <w:kern w:val="0"/>
                <w:sz w:val="20"/>
                <w:szCs w:val="20"/>
                <w:shd w:val="clear" w:color="auto" w:fill="auto"/>
                <w:lang w:val="en-US" w:eastAsia="zh-CN"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Calibri" w:hAnsi="Calibri" w:eastAsia="宋体" w:cs="Calibri"/>
                <w:kern w:val="0"/>
                <w:sz w:val="20"/>
                <w:szCs w:val="20"/>
                <w:shd w:val="clear" w:color="auto" w:fill="auto"/>
                <w:lang w:val="en-US" w:eastAsia="zh-CN"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Calibri" w:hAnsi="Calibri" w:eastAsia="宋体" w:cs="Calibri"/>
                <w:kern w:val="0"/>
                <w:sz w:val="20"/>
                <w:szCs w:val="20"/>
                <w:shd w:val="clear" w:color="auto" w:fill="auto"/>
                <w:lang w:val="en-US" w:eastAsia="zh-CN"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Calibri" w:hAnsi="Calibri" w:eastAsia="宋体" w:cs="Calibri"/>
                <w:kern w:val="0"/>
                <w:sz w:val="20"/>
                <w:szCs w:val="20"/>
                <w:shd w:val="clear" w:color="auto" w:fill="auto"/>
                <w:lang w:val="en-US" w:eastAsia="zh-CN"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Calibri" w:hAnsi="Calibri" w:eastAsia="宋体" w:cs="Calibri"/>
                <w:kern w:val="0"/>
                <w:sz w:val="20"/>
                <w:szCs w:val="20"/>
                <w:shd w:val="clear" w:color="auto" w:fill="auto"/>
                <w:lang w:val="en-US" w:eastAsia="zh-CN"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Calibri" w:hAnsi="Calibri" w:eastAsia="宋体" w:cs="Calibri"/>
                <w:kern w:val="0"/>
                <w:sz w:val="20"/>
                <w:szCs w:val="20"/>
                <w:shd w:val="clear" w:color="auto" w:fill="auto"/>
                <w:lang w:val="en-US" w:eastAsia="zh-CN"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Calibri" w:hAnsi="Calibri" w:eastAsia="宋体" w:cs="Calibri"/>
                <w:kern w:val="0"/>
                <w:sz w:val="20"/>
                <w:szCs w:val="20"/>
                <w:shd w:val="clear" w:color="auto" w:fill="auto"/>
                <w:lang w:val="en-US" w:eastAsia="zh-CN"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Calibri" w:hAnsi="Calibri" w:eastAsia="宋体" w:cs="Calibri"/>
                <w:kern w:val="0"/>
                <w:sz w:val="20"/>
                <w:szCs w:val="20"/>
                <w:shd w:val="clear" w:color="auto" w:fill="auto"/>
                <w:lang w:val="en-US" w:eastAsia="zh-CN"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Calibri" w:hAnsi="Calibri" w:eastAsia="宋体" w:cs="Calibri"/>
                <w:kern w:val="0"/>
                <w:sz w:val="20"/>
                <w:szCs w:val="20"/>
                <w:shd w:val="clear" w:color="auto" w:fill="auto"/>
                <w:lang w:val="en-US" w:eastAsia="zh-CN"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Calibri" w:hAnsi="Calibri" w:eastAsia="宋体" w:cs="Calibri"/>
                <w:kern w:val="0"/>
                <w:sz w:val="20"/>
                <w:szCs w:val="20"/>
                <w:shd w:val="clear" w:color="auto" w:fill="auto"/>
                <w:lang w:val="en-US" w:eastAsia="zh-CN"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Calibri" w:hAnsi="Calibri" w:eastAsia="宋体" w:cs="Calibri"/>
                <w:kern w:val="0"/>
                <w:sz w:val="20"/>
                <w:szCs w:val="20"/>
                <w:shd w:val="clear" w:color="auto" w:fill="auto"/>
                <w:lang w:val="en-US" w:eastAsia="zh-CN"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Calibri" w:hAnsi="Calibri" w:eastAsia="宋体" w:cs="Calibri"/>
                <w:kern w:val="0"/>
                <w:sz w:val="20"/>
                <w:szCs w:val="20"/>
                <w:shd w:val="clear" w:color="auto" w:fill="auto"/>
                <w:lang w:val="en-US" w:eastAsia="zh-CN"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Calibri" w:hAnsi="Calibri" w:eastAsia="宋体" w:cs="Calibri"/>
                <w:kern w:val="0"/>
                <w:sz w:val="20"/>
                <w:szCs w:val="20"/>
                <w:shd w:val="clear" w:color="auto" w:fill="auto"/>
                <w:lang w:val="en-US" w:eastAsia="zh-CN"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shd w:val="clear" w:color="auto" w:fill="auto"/>
              </w:rPr>
            </w:pPr>
            <w:r>
              <w:rPr>
                <w:rFonts w:hint="eastAsia" w:ascii="Calibri" w:hAnsi="Calibri" w:eastAsia="宋体" w:cs="Calibri"/>
                <w:kern w:val="0"/>
                <w:sz w:val="20"/>
                <w:szCs w:val="20"/>
                <w:shd w:val="clear" w:color="auto" w:fill="auto"/>
                <w:lang w:val="en-US" w:eastAsia="zh-CN" w:bidi="ar"/>
              </w:rPr>
              <w:t>0</w:t>
            </w:r>
          </w:p>
        </w:tc>
        <w:tc>
          <w:tcPr>
            <w:tcW w:w="743" w:type="dxa"/>
            <w:tcBorders>
              <w:top w:val="nil"/>
              <w:left w:val="single" w:color="auto" w:sz="8" w:space="0"/>
              <w:bottom w:val="single" w:color="auto" w:sz="8" w:space="0"/>
              <w:right w:val="single" w:color="auto" w:sz="8" w:space="0"/>
            </w:tcBorders>
            <w:tcMar>
              <w:left w:w="108" w:type="dxa"/>
              <w:right w:w="108" w:type="dxa"/>
            </w:tcMar>
            <w:vAlign w:val="center"/>
          </w:tcPr>
          <w:p>
            <w:pPr>
              <w:rPr>
                <w:rFonts w:hint="eastAsia" w:ascii="宋体"/>
                <w:sz w:val="24"/>
                <w:szCs w:val="24"/>
                <w:shd w:val="clear" w:color="auto" w:fill="auto"/>
              </w:rPr>
            </w:pPr>
            <w:r>
              <w:rPr>
                <w:rFonts w:hint="eastAsia" w:ascii="Calibri" w:hAnsi="Calibri" w:eastAsia="宋体" w:cs="Calibri"/>
                <w:kern w:val="0"/>
                <w:sz w:val="20"/>
                <w:szCs w:val="20"/>
                <w:shd w:val="clear" w:color="auto" w:fill="auto"/>
                <w:lang w:val="en-US" w:eastAsia="zh-CN" w:bidi="ar"/>
              </w:rPr>
              <w:t>0</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600" w:lineRule="exact"/>
        <w:ind w:right="0" w:firstLine="643" w:firstLineChars="200"/>
        <w:jc w:val="both"/>
        <w:textAlignment w:val="auto"/>
        <w:rPr>
          <w:rFonts w:hint="eastAsia" w:ascii="宋体" w:hAnsi="宋体" w:eastAsia="宋体" w:cs="宋体"/>
          <w:i w:val="0"/>
          <w:caps w:val="0"/>
          <w:color w:val="auto"/>
          <w:spacing w:val="0"/>
          <w:sz w:val="32"/>
          <w:szCs w:val="32"/>
          <w:shd w:val="clear" w:color="auto" w:fill="auto"/>
        </w:rPr>
      </w:pPr>
      <w:r>
        <w:rPr>
          <w:rFonts w:hint="eastAsia" w:ascii="宋体" w:hAnsi="宋体" w:eastAsia="宋体" w:cs="宋体"/>
          <w:b/>
          <w:i w:val="0"/>
          <w:caps w:val="0"/>
          <w:color w:val="auto"/>
          <w:spacing w:val="0"/>
          <w:sz w:val="32"/>
          <w:szCs w:val="32"/>
          <w:shd w:val="clear" w:color="auto" w:fill="auto"/>
        </w:rPr>
        <w:t>五、存在的主要问题及改进情况</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lang w:eastAsia="zh-CN"/>
        </w:rPr>
      </w:pPr>
      <w:r>
        <w:rPr>
          <w:rFonts w:hint="eastAsia" w:ascii="仿宋_GB2312" w:eastAsia="仿宋_GB2312"/>
          <w:sz w:val="32"/>
        </w:rPr>
        <w:t>20</w:t>
      </w:r>
      <w:r>
        <w:rPr>
          <w:rFonts w:hint="eastAsia" w:ascii="仿宋_GB2312" w:eastAsia="仿宋_GB2312"/>
          <w:sz w:val="32"/>
          <w:lang w:val="en-US" w:eastAsia="zh-CN"/>
        </w:rPr>
        <w:t>22</w:t>
      </w:r>
      <w:r>
        <w:rPr>
          <w:rFonts w:hint="eastAsia" w:ascii="仿宋_GB2312" w:eastAsia="仿宋_GB2312"/>
          <w:sz w:val="32"/>
        </w:rPr>
        <w:t>年，在区府办、市审计局的指导下，区审计局政务公开和政府信息公开工作继续顺利开展，</w:t>
      </w:r>
      <w:r>
        <w:rPr>
          <w:rFonts w:hint="eastAsia" w:ascii="仿宋_GB2312" w:eastAsia="仿宋_GB2312"/>
          <w:sz w:val="32"/>
          <w:lang w:eastAsia="zh-CN"/>
        </w:rPr>
        <w:t>在基础工作和依申请公开工作中得到了认可。</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rPr>
      </w:pPr>
      <w:r>
        <w:rPr>
          <w:rFonts w:hint="eastAsia" w:ascii="仿宋_GB2312" w:eastAsia="仿宋_GB2312"/>
          <w:sz w:val="32"/>
          <w:lang w:eastAsia="zh-CN"/>
        </w:rPr>
        <w:t>针对</w:t>
      </w:r>
      <w:r>
        <w:rPr>
          <w:rFonts w:hint="eastAsia" w:ascii="仿宋_GB2312" w:eastAsia="仿宋_GB2312"/>
          <w:sz w:val="32"/>
          <w:lang w:val="en-US" w:eastAsia="zh-CN"/>
        </w:rPr>
        <w:t>2021年提出的</w:t>
      </w:r>
      <w:r>
        <w:rPr>
          <w:rFonts w:hint="eastAsia" w:ascii="仿宋_GB2312" w:eastAsia="仿宋_GB2312"/>
          <w:sz w:val="32"/>
        </w:rPr>
        <w:t>政务公开工作人员流动性大</w:t>
      </w:r>
      <w:r>
        <w:rPr>
          <w:rFonts w:hint="eastAsia" w:ascii="仿宋_GB2312" w:eastAsia="仿宋_GB2312"/>
          <w:sz w:val="32"/>
          <w:lang w:val="en-US" w:eastAsia="zh-CN"/>
        </w:rPr>
        <w:t>的问题，区审计局在2022年已经完成整改，要求</w:t>
      </w:r>
      <w:r>
        <w:rPr>
          <w:rFonts w:hint="eastAsia" w:ascii="仿宋_GB2312" w:eastAsia="仿宋_GB2312"/>
          <w:sz w:val="32"/>
        </w:rPr>
        <w:t>新人进一步</w:t>
      </w:r>
      <w:r>
        <w:rPr>
          <w:rFonts w:hint="eastAsia" w:ascii="仿宋_GB2312" w:eastAsia="仿宋_GB2312"/>
          <w:sz w:val="32"/>
          <w:lang w:eastAsia="zh-CN"/>
        </w:rPr>
        <w:t>加快</w:t>
      </w:r>
      <w:r>
        <w:rPr>
          <w:rFonts w:hint="eastAsia" w:ascii="仿宋_GB2312" w:eastAsia="仿宋_GB2312"/>
          <w:sz w:val="32"/>
        </w:rPr>
        <w:t>熟悉</w:t>
      </w:r>
      <w:r>
        <w:rPr>
          <w:rFonts w:hint="eastAsia" w:ascii="仿宋_GB2312" w:eastAsia="仿宋_GB2312"/>
          <w:sz w:val="32"/>
          <w:lang w:eastAsia="zh-CN"/>
        </w:rPr>
        <w:t>着政府信息公开工作</w:t>
      </w:r>
      <w:r>
        <w:rPr>
          <w:rFonts w:hint="eastAsia" w:ascii="仿宋_GB2312" w:eastAsia="仿宋_GB2312"/>
          <w:sz w:val="32"/>
        </w:rPr>
        <w:t>，提升责任意识</w:t>
      </w:r>
      <w:r>
        <w:rPr>
          <w:rFonts w:hint="eastAsia" w:ascii="仿宋_GB2312" w:hAnsi="仿宋_GB2312" w:eastAsia="仿宋_GB2312" w:cs="仿宋_GB2312"/>
          <w:kern w:val="2"/>
          <w:sz w:val="32"/>
          <w:szCs w:val="32"/>
          <w:lang w:val="en-US" w:eastAsia="zh-CN" w:bidi="ar-SA"/>
        </w:rPr>
        <w:t>，积极参加区信息公开培训，加强与市审计局和各区县审计局的沟通交流，学习先进成熟的工作经验和做法，提高自身信息公开工作的能力和水平，</w:t>
      </w:r>
      <w:r>
        <w:rPr>
          <w:rFonts w:hint="eastAsia" w:ascii="仿宋_GB2312" w:eastAsia="仿宋_GB2312"/>
          <w:sz w:val="32"/>
        </w:rPr>
        <w:t>确保政务公开各项工作没有盲区，更好提升政府工作透明度。</w:t>
      </w:r>
    </w:p>
    <w:p>
      <w:pPr>
        <w:keepNext w:val="0"/>
        <w:keepLines w:val="0"/>
        <w:pageBreakBefore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hAnsiTheme="minorHAnsi" w:cstheme="minorBidi"/>
          <w:kern w:val="2"/>
          <w:sz w:val="32"/>
          <w:szCs w:val="24"/>
          <w:lang w:val="en-US" w:eastAsia="zh-CN" w:bidi="ar-SA"/>
        </w:rPr>
      </w:pPr>
      <w:r>
        <w:rPr>
          <w:rFonts w:hint="eastAsia" w:ascii="仿宋_GB2312" w:eastAsia="仿宋_GB2312"/>
          <w:sz w:val="32"/>
          <w:lang w:val="en-US" w:eastAsia="zh-CN"/>
        </w:rPr>
        <w:t>2022年的政府信息公开工作</w:t>
      </w:r>
      <w:r>
        <w:rPr>
          <w:rFonts w:hint="eastAsia" w:ascii="仿宋_GB2312" w:eastAsia="仿宋_GB2312"/>
          <w:sz w:val="32"/>
          <w:lang w:eastAsia="zh-CN"/>
        </w:rPr>
        <w:t>也存在一些问题，在特色工作中缺乏创新做法和特色案例，</w:t>
      </w:r>
      <w:r>
        <w:rPr>
          <w:rFonts w:hint="eastAsia" w:ascii="仿宋_GB2312" w:eastAsia="仿宋_GB2312"/>
          <w:sz w:val="32"/>
        </w:rPr>
        <w:t>在20</w:t>
      </w:r>
      <w:r>
        <w:rPr>
          <w:rFonts w:hint="eastAsia" w:ascii="仿宋_GB2312" w:eastAsia="仿宋_GB2312"/>
          <w:sz w:val="32"/>
          <w:lang w:val="en-US" w:eastAsia="zh-CN"/>
        </w:rPr>
        <w:t>23</w:t>
      </w:r>
      <w:r>
        <w:rPr>
          <w:rFonts w:hint="eastAsia" w:ascii="仿宋_GB2312" w:eastAsia="仿宋_GB2312"/>
          <w:sz w:val="32"/>
        </w:rPr>
        <w:t>年的</w:t>
      </w:r>
      <w:r>
        <w:rPr>
          <w:rFonts w:hint="eastAsia" w:ascii="仿宋_GB2312" w:eastAsia="仿宋_GB2312"/>
          <w:sz w:val="32"/>
          <w:lang w:eastAsia="zh-CN"/>
        </w:rPr>
        <w:t>政府信息</w:t>
      </w:r>
      <w:r>
        <w:rPr>
          <w:rFonts w:hint="eastAsia" w:ascii="仿宋_GB2312" w:eastAsia="仿宋_GB2312"/>
          <w:sz w:val="32"/>
        </w:rPr>
        <w:t>工作中，</w:t>
      </w:r>
      <w:r>
        <w:rPr>
          <w:rFonts w:hint="eastAsia" w:ascii="仿宋_GB2312" w:eastAsia="仿宋_GB2312"/>
          <w:sz w:val="32"/>
          <w:lang w:eastAsia="zh-CN"/>
        </w:rPr>
        <w:t>一是要注重日常积累，进一步完善材料和相关信息的整理、归集，为年度考核工作提供详实依据；二是要寻找突破口，体现审计特色，丰富公开的内容</w:t>
      </w:r>
      <w:r>
        <w:rPr>
          <w:rFonts w:hint="eastAsia" w:ascii="仿宋_GB2312" w:eastAsia="仿宋_GB2312"/>
          <w:sz w:val="32"/>
          <w:lang w:val="en-US" w:eastAsia="zh-CN"/>
        </w:rPr>
        <w:t>。</w:t>
      </w:r>
    </w:p>
    <w:p>
      <w:pPr>
        <w:keepNext w:val="0"/>
        <w:keepLines w:val="0"/>
        <w:pageBreakBefore w:val="0"/>
        <w:widowControl/>
        <w:shd w:val="clear" w:color="auto" w:fill="auto"/>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sz w:val="32"/>
        </w:rPr>
      </w:pPr>
      <w:r>
        <w:rPr>
          <w:rFonts w:hint="eastAsia" w:ascii="仿宋_GB2312" w:eastAsia="仿宋_GB2312"/>
          <w:sz w:val="32"/>
          <w:lang w:val="en-US" w:eastAsia="zh-CN"/>
        </w:rPr>
        <w:tab/>
      </w:r>
      <w:r>
        <w:rPr>
          <w:rFonts w:hint="eastAsia" w:ascii="仿宋_GB2312" w:eastAsia="仿宋_GB2312"/>
          <w:sz w:val="32"/>
        </w:rPr>
        <w:t>区审计局将继续认真落实国家和市、区政务公开工作要求，坚持以公开为常态、不公开为例外，规范审计公开内容，积极稳妥地推进审计信息公开。</w:t>
      </w:r>
    </w:p>
    <w:p>
      <w:pPr>
        <w:pStyle w:val="2"/>
        <w:keepNext w:val="0"/>
        <w:keepLines w:val="0"/>
        <w:pageBreakBefore w:val="0"/>
        <w:widowControl/>
        <w:numPr>
          <w:ilvl w:val="0"/>
          <w:numId w:val="5"/>
        </w:numPr>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600" w:lineRule="exact"/>
        <w:ind w:right="0" w:firstLine="643" w:firstLineChars="200"/>
        <w:jc w:val="both"/>
        <w:textAlignment w:val="auto"/>
        <w:rPr>
          <w:rFonts w:hint="eastAsia" w:ascii="宋体" w:hAnsi="宋体" w:eastAsia="宋体" w:cs="宋体"/>
          <w:b/>
          <w:i w:val="0"/>
          <w:caps w:val="0"/>
          <w:color w:val="auto"/>
          <w:spacing w:val="0"/>
          <w:sz w:val="32"/>
          <w:szCs w:val="32"/>
          <w:shd w:val="clear" w:color="auto" w:fill="auto"/>
        </w:rPr>
      </w:pPr>
      <w:r>
        <w:rPr>
          <w:rFonts w:hint="eastAsia" w:ascii="宋体" w:hAnsi="宋体" w:eastAsia="宋体" w:cs="宋体"/>
          <w:b/>
          <w:i w:val="0"/>
          <w:caps w:val="0"/>
          <w:color w:val="auto"/>
          <w:spacing w:val="0"/>
          <w:sz w:val="32"/>
          <w:szCs w:val="32"/>
          <w:shd w:val="clear" w:color="auto" w:fill="auto"/>
        </w:rPr>
        <w:t>其他需要报告的事项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按照《国务院办公厅关于印发〈政府信息公开信息处理费管理办法〉的通知》（国办函〔2020〕109号）以及《上海市财政局、上海市发展和改革委员会关于政府信息公开信息处理费有关事项的通知》（沪财税〔2022〕7号）规定的按件、按量收费标准，本年度收取信息处理费的情况如下：发出收费通知的件数为0件、总金额为0元、实际收取的总金额为0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600" w:lineRule="exact"/>
        <w:ind w:right="0" w:firstLine="2240" w:firstLineChars="700"/>
        <w:jc w:val="both"/>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600" w:lineRule="exact"/>
        <w:ind w:right="0" w:firstLine="2240" w:firstLineChars="700"/>
        <w:jc w:val="both"/>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600" w:lineRule="exact"/>
        <w:ind w:right="0" w:firstLine="4800" w:firstLineChars="15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上海市普陀区审计局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auto"/>
        <w:kinsoku/>
        <w:wordWrap/>
        <w:overflowPunct/>
        <w:topLinePunct w:val="0"/>
        <w:autoSpaceDE/>
        <w:autoSpaceDN/>
        <w:bidi w:val="0"/>
        <w:adjustRightInd/>
        <w:spacing w:before="0" w:beforeAutospacing="0" w:after="0" w:afterAutospacing="0" w:line="600" w:lineRule="exact"/>
        <w:ind w:right="0" w:firstLine="5120" w:firstLineChars="16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2023年1月12日</w:t>
      </w:r>
    </w:p>
    <w:p>
      <w:pPr>
        <w:keepNext w:val="0"/>
        <w:keepLines w:val="0"/>
        <w:pageBreakBefore w:val="0"/>
        <w:numPr>
          <w:ilvl w:val="0"/>
          <w:numId w:val="0"/>
        </w:numPr>
        <w:kinsoku/>
        <w:wordWrap/>
        <w:overflowPunct/>
        <w:topLinePunct w:val="0"/>
        <w:autoSpaceDE/>
        <w:autoSpaceDN/>
        <w:bidi w:val="0"/>
        <w:adjustRightInd/>
        <w:spacing w:line="600" w:lineRule="exact"/>
        <w:jc w:val="left"/>
        <w:textAlignment w:val="auto"/>
        <w:rPr>
          <w:rFonts w:hint="eastAsia" w:ascii="仿宋_GB2312" w:hAnsi="仿宋_GB2312" w:eastAsia="仿宋_GB2312" w:cs="仿宋_GB2312"/>
          <w:b/>
          <w:bCs/>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汉仪中等线简">
    <w:altName w:val="仿宋"/>
    <w:panose1 w:val="00000000000000000000"/>
    <w:charset w:val="86"/>
    <w:family w:val="modern"/>
    <w:pitch w:val="default"/>
    <w:sig w:usb0="00000000" w:usb1="00000000" w:usb2="00000012"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D2A6CC"/>
    <w:multiLevelType w:val="singleLevel"/>
    <w:tmpl w:val="B6D2A6CC"/>
    <w:lvl w:ilvl="0" w:tentative="0">
      <w:start w:val="2"/>
      <w:numFmt w:val="chineseCounting"/>
      <w:suff w:val="nothing"/>
      <w:lvlText w:val="%1、"/>
      <w:lvlJc w:val="left"/>
      <w:rPr>
        <w:rFonts w:hint="eastAsia"/>
      </w:rPr>
    </w:lvl>
  </w:abstractNum>
  <w:abstractNum w:abstractNumId="1">
    <w:nsid w:val="61CAC054"/>
    <w:multiLevelType w:val="singleLevel"/>
    <w:tmpl w:val="61CAC054"/>
    <w:lvl w:ilvl="0" w:tentative="0">
      <w:start w:val="4"/>
      <w:numFmt w:val="chineseCounting"/>
      <w:suff w:val="nothing"/>
      <w:lvlText w:val="%1、"/>
      <w:lvlJc w:val="left"/>
    </w:lvl>
  </w:abstractNum>
  <w:abstractNum w:abstractNumId="2">
    <w:nsid w:val="61E76DAB"/>
    <w:multiLevelType w:val="singleLevel"/>
    <w:tmpl w:val="61E76DAB"/>
    <w:lvl w:ilvl="0" w:tentative="0">
      <w:start w:val="3"/>
      <w:numFmt w:val="chineseCounting"/>
      <w:suff w:val="nothing"/>
      <w:lvlText w:val="（%1）"/>
      <w:lvlJc w:val="left"/>
    </w:lvl>
  </w:abstractNum>
  <w:abstractNum w:abstractNumId="3">
    <w:nsid w:val="63C11FDD"/>
    <w:multiLevelType w:val="singleLevel"/>
    <w:tmpl w:val="63C11FDD"/>
    <w:lvl w:ilvl="0" w:tentative="0">
      <w:start w:val="6"/>
      <w:numFmt w:val="chineseCounting"/>
      <w:suff w:val="nothing"/>
      <w:lvlText w:val="%1、"/>
      <w:lvlJc w:val="left"/>
    </w:lvl>
  </w:abstractNum>
  <w:abstractNum w:abstractNumId="4">
    <w:nsid w:val="7993753F"/>
    <w:multiLevelType w:val="singleLevel"/>
    <w:tmpl w:val="7993753F"/>
    <w:lvl w:ilvl="0" w:tentative="0">
      <w:start w:val="1"/>
      <w:numFmt w:val="chineseCounting"/>
      <w:suff w:val="nothing"/>
      <w:lvlText w:val="%1、"/>
      <w:lvlJc w:val="left"/>
      <w:rPr>
        <w:rFonts w:hint="eastAsia"/>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xMzRhYWEwZTRlNzQxOTI5NDNiY2QzMTQwMTU0NTEifQ=="/>
  </w:docVars>
  <w:rsids>
    <w:rsidRoot w:val="724D0F82"/>
    <w:rsid w:val="03F93ADA"/>
    <w:rsid w:val="07B76CEE"/>
    <w:rsid w:val="07C70B7C"/>
    <w:rsid w:val="08824CDD"/>
    <w:rsid w:val="099260E2"/>
    <w:rsid w:val="0AAE6457"/>
    <w:rsid w:val="1043117C"/>
    <w:rsid w:val="15993436"/>
    <w:rsid w:val="1DB16397"/>
    <w:rsid w:val="20F9155B"/>
    <w:rsid w:val="27CE1D98"/>
    <w:rsid w:val="2C9D59E6"/>
    <w:rsid w:val="2DD71A3F"/>
    <w:rsid w:val="35C1561F"/>
    <w:rsid w:val="3819026C"/>
    <w:rsid w:val="38B1761F"/>
    <w:rsid w:val="3C5B093B"/>
    <w:rsid w:val="40970DB0"/>
    <w:rsid w:val="41A00B46"/>
    <w:rsid w:val="482E3726"/>
    <w:rsid w:val="4BED5712"/>
    <w:rsid w:val="4DB73E15"/>
    <w:rsid w:val="4DC64607"/>
    <w:rsid w:val="4E182FC6"/>
    <w:rsid w:val="507E71C5"/>
    <w:rsid w:val="563B02AE"/>
    <w:rsid w:val="59A67449"/>
    <w:rsid w:val="5B1C05BD"/>
    <w:rsid w:val="616D6A24"/>
    <w:rsid w:val="61F459EA"/>
    <w:rsid w:val="63BB66E9"/>
    <w:rsid w:val="69CF1A4E"/>
    <w:rsid w:val="69E47CD2"/>
    <w:rsid w:val="6C88097F"/>
    <w:rsid w:val="724D0F82"/>
    <w:rsid w:val="747B0A80"/>
    <w:rsid w:val="748F1EC5"/>
    <w:rsid w:val="790D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2899</Words>
  <Characters>3008</Characters>
  <Lines>0</Lines>
  <Paragraphs>0</Paragraphs>
  <TotalTime>1</TotalTime>
  <ScaleCrop>false</ScaleCrop>
  <LinksUpToDate>false</LinksUpToDate>
  <CharactersWithSpaces>3171</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2023-01-04T06:58:00Z</dcterms:created>
  <dc:creator>普陀区人民政府专用版</dc:creator>
  <cp:lastModifiedBy>黄铮</cp:lastModifiedBy>
  <cp:lastPrinted>2023-01-16T01:41:00Z</cp:lastPrinted>
  <dcterms:modified xsi:type="dcterms:W3CDTF">2023-03-29T00:49:42Z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3C949DA989FB43CA9DA46319DCA1B02C</vt:lpwstr>
  </property>
</Properties>
</file>